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both"/>
        <w:spacing w:lineRule="auto" w:line="259" w:after="160"/>
        <w:rPr>
          <w:color w:val="auto"/>
          <w:sz w:val="24"/>
          <w:szCs w:val="24"/>
          <w:rFonts w:ascii="NanumGothic" w:eastAsia="NanumGothic" w:hAnsi="NanumGothic" w:cs="NanumGothic"/>
        </w:rPr>
        <w:autoSpaceDE w:val="0"/>
        <w:autoSpaceDN w:val="0"/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NAME: Ibezim Emily Chika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NanumGothic" w:eastAsia="NanumGothic" w:hAnsi="NanumGothic" w:cs="NanumGothic"/>
        </w:rPr>
        <w:autoSpaceDE w:val="0"/>
        <w:autoSpaceDN w:val="0"/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MATRIC NUMBER: 17/mhs01/143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NanumGothic" w:eastAsia="NanumGothic" w:hAnsi="NanumGothic" w:cs="NanumGothic"/>
        </w:rPr>
        <w:autoSpaceDE w:val="0"/>
        <w:autoSpaceDN w:val="0"/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COLEEGE: Medicine and Health Sciences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NanumGothic" w:eastAsia="NanumGothic" w:hAnsi="NanumGothic" w:cs="NanumGothic"/>
        </w:rPr>
        <w:autoSpaceDE w:val="0"/>
        <w:autoSpaceDN w:val="0"/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DEPARTMENT: Medicine and Surgery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NanumGothic" w:eastAsia="NanumGothic" w:hAnsi="NanumGothic" w:cs="NanumGothic"/>
        </w:rPr>
        <w:autoSpaceDE w:val="0"/>
        <w:autoSpaceDN w:val="0"/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COURSE: BIOCHEMISTRY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NanumGothic" w:eastAsia="NanumGothic" w:hAnsi="NanumGothic" w:cs="NanumGothic"/>
        </w:rPr>
        <w:autoSpaceDE w:val="0"/>
        <w:autoSpaceDN w:val="0"/>
      </w:pPr>
    </w:p>
    <w:p>
      <w:pPr>
        <w:jc w:val="both"/>
        <w:spacing w:lineRule="auto" w:line="259" w:after="160"/>
        <w:rPr>
          <w:b w:val="1"/>
          <w:color w:val="auto"/>
          <w:sz w:val="22"/>
          <w:szCs w:val="22"/>
          <w:u w:val="single"/>
          <w:rFonts w:ascii="NanumGothic" w:eastAsia="NanumGothic" w:hAnsi="NanumGothic" w:cs="NanumGothic"/>
        </w:rPr>
        <w:autoSpaceDE w:val="0"/>
        <w:autoSpaceDN w:val="0"/>
      </w:pPr>
      <w:r>
        <w:rPr>
          <w:b w:val="1"/>
          <w:color w:val="auto"/>
          <w:sz w:val="22"/>
          <w:szCs w:val="22"/>
          <w:u w:val="single"/>
          <w:rFonts w:ascii="NanumGothic" w:eastAsia="NanumGothic" w:hAnsi="NanumGothic" w:cs="NanumGothic"/>
        </w:rPr>
        <w:t xml:space="preserve">QUESTION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Discuss in detail the factors affecting drug metabolism.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</w:p>
    <w:p>
      <w:pPr>
        <w:jc w:val="both"/>
        <w:spacing w:lineRule="auto" w:line="259" w:after="160"/>
        <w:rPr>
          <w:b w:val="1"/>
          <w:color w:val="auto"/>
          <w:sz w:val="22"/>
          <w:szCs w:val="22"/>
          <w:u w:val="single"/>
          <w:rFonts w:ascii="NanumGothic" w:eastAsia="NanumGothic" w:hAnsi="NanumGothic" w:cs="NanumGothic"/>
        </w:rPr>
        <w:autoSpaceDE w:val="0"/>
        <w:autoSpaceDN w:val="0"/>
      </w:pPr>
      <w:r>
        <w:rPr>
          <w:b w:val="1"/>
          <w:color w:val="auto"/>
          <w:sz w:val="22"/>
          <w:szCs w:val="22"/>
          <w:u w:val="single"/>
          <w:rFonts w:ascii="NanumGothic" w:eastAsia="NanumGothic" w:hAnsi="NanumGothic" w:cs="NanumGothic"/>
        </w:rPr>
        <w:t>SOLUTION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Drug metabolism is the chemical alteration of a drug by the body. It is the metabolic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breakdown of drugs by living organisms, usually through specialized enzymatic systems.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Drugs can be metabolized by oxidation, reduction, hydrolysis, hydration, conjugation,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condensation, or isomerization; whatever the process, the goal is to make the drug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easier to excrete. The enzymes involved in metabolism are present in many tissues but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generally are more concentrated in the liver.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Many factors can determine which pathway is used by which drug and to what extent a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particular drug is biotransformed by a particular pathway. These factors range from the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species of organism studied to the environment in which that organism lives and can be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grouped as follows: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•Internal (i.e. physiological and pathological) factors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•External factors (i.e. diet and environment)</w:t>
      </w:r>
    </w:p>
    <w:p>
      <w:pPr>
        <w:jc w:val="both"/>
        <w:spacing w:lineRule="auto" w:line="259" w:after="160"/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>Internal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>•species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•genetic (strain)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>•age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>•sex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>•hormones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>•disease</w:t>
      </w:r>
    </w:p>
    <w:p>
      <w:pPr>
        <w:jc w:val="both"/>
        <w:spacing w:lineRule="auto" w:line="259" w:after="160"/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>External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>•diet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>•environment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liver’s primary mechanism for metabolizing drugs is via a specific group of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cytochrome P-450 enzymes. The level of these cytochrome P-450 enzymes controls the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rate at which many drugs are metabolized. Many substances (such as drugs and foods)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affect the cytochrome P-450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(CYP450)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enzymes. If these substances decrease the ability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of the enzymes to break down a drug, then that drug's effects (including side effects)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are increased. If the substances increase the ability of the enzymes to break down a drug,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then that drug's effects are decreased.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Below, some of these factors will be explained;</w:t>
      </w:r>
    </w:p>
    <w:p>
      <w:pPr>
        <w:jc w:val="both"/>
        <w:spacing w:lineRule="auto" w:line="259" w:after="160"/>
        <w:rPr>
          <w:b w:val="1"/>
          <w:color w:val="auto"/>
          <w:sz w:val="22"/>
          <w:szCs w:val="22"/>
          <w:u w:val="single"/>
          <w:rFonts w:ascii="NanumGothic" w:eastAsia="NanumGothic" w:hAnsi="NanumGothic" w:cs="NanumGothic"/>
        </w:rPr>
        <w:autoSpaceDE w:val="0"/>
        <w:autoSpaceDN w:val="0"/>
      </w:pPr>
      <w:r>
        <w:rPr>
          <w:b w:val="1"/>
          <w:color w:val="auto"/>
          <w:sz w:val="22"/>
          <w:szCs w:val="22"/>
          <w:u w:val="single"/>
          <w:rFonts w:ascii="NanumGothic" w:eastAsia="NanumGothic" w:hAnsi="NanumGothic" w:cs="NanumGothic"/>
        </w:rPr>
        <w:t xml:space="preserve">INTERNAL FACTORS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>AGE: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Because metabolic enzyme systems are only partially developed at birth, newborns have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difficulty metabolizing certain drugs. As people age, enzymatic activity decreases, so that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older people, like newborns, cannot metabolize drugs as well as younger adults and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children do. Consequently, newborns and older people often need smaller doses per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pound of body weight than do young or middle-aged adults.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>GENETIC: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Differences in genetic (inherited) makeup among individuals affect what the body does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to a drug and what the drug does to the body. The study of genetic differences in the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response to drugs is called pharmacogenetics. Because of their genetic makeup, some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people process (metabolize) drugs slowly. As a result, a drug may accumulate in the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body, causing toxicity. Other people metabolize drugs so quickly that after they take a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usual dose, drug levels in the blood never become high enough for the drug to be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effective. In individuals whereby N-acetyltransferase, a liver enzyme that metabolizes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certain drugs, works slowly, such people are called slow acetylators. Drugs, such as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isoniazid (which is used to treat tuberculosis), that are metabolized by this enzyme tend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to reach higher blood levels and remain in the body longer in slow acetylators than they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do in people in whom this enzyme metabolizes drugs rapidly (fast acetylators).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>SEX: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In most clinical trials, women are underrepresented, and gender-specific analysis is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uncommon. Sex differences in metabolism (phase I and II) are believed to be the major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cause of differential pharmacokinetics between men and women. Many CYP450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enzymes (phase I metabolism) show a sex-dependent difference in activity. Most of the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phase II enzymes have a higher activity in men than in women. Activities of these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enzymes can also change during pregnancy and with the use of oral contraceptives. Sex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differences are also found in other pharmacokinetic parameters such as drug absorption,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drug distribution, and excretion. Despite these differences between men and women,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sex-specific dosing recommendations are absent for most drugs. Therefore, when a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woman consistently experiences less therapeutic effect or more adverse effects from a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drug, a change in its dosing regimen may be necessary.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</w:p>
    <w:p>
      <w:pPr>
        <w:jc w:val="both"/>
        <w:spacing w:lineRule="auto" w:line="259" w:after="160"/>
        <w:rPr>
          <w:b w:val="1"/>
          <w:color w:val="auto"/>
          <w:sz w:val="22"/>
          <w:szCs w:val="22"/>
          <w:u w:val="single"/>
          <w:rFonts w:ascii="NanumGothic" w:eastAsia="NanumGothic" w:hAnsi="NanumGothic" w:cs="NanumGothic"/>
        </w:rPr>
        <w:autoSpaceDE w:val="0"/>
        <w:autoSpaceDN w:val="0"/>
      </w:pPr>
      <w:r>
        <w:rPr>
          <w:b w:val="1"/>
          <w:color w:val="auto"/>
          <w:sz w:val="22"/>
          <w:szCs w:val="22"/>
          <w:u w:val="single"/>
          <w:rFonts w:ascii="NanumGothic" w:eastAsia="NanumGothic" w:hAnsi="NanumGothic" w:cs="NanumGothic"/>
        </w:rPr>
        <w:t xml:space="preserve">EXTERNAL FACTORS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>DIET: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Nutrition can affect the body’s response to drugs; conversely, drugs can affect the body’s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>nutrition.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Foods can enhance, delay, or decrease drug absorption. Foods impair absorption of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many antibiotics. They can alter metabolism of drugs; eg, high-protein diets can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accelerate metabolism of certain drugs by stimulating cytochrome P-450. Eating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grapefruit can inhibit cytochrome P-450 34A, slowing metabolism of some drugs (eg,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amiodarone, carbamazepine, cyclosporine, certain Ca channel blockers). Diets that alter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bacterial flora may markedly affect the overall metabolism of certain drugs. Some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foods affect the body’s response to drugs. For example, tyramine, a component of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cheese and a potent vasoconstrictor, can cause hypertensive crisis in some patients who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take monoamine oxidase inhibitors and eat cheese.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Nutritional deficiencies can affect drug absorption and metabolism. Severe energy and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protein deficiencies reduce enzyme tissue concentrations and may impair the response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to drugs by reducing absorption or protein binding and causing liver dysfunction.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Changes in the GI tract can impair absorption and affect the response to a drug.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Deficiency of Ca, Mg, or zinc may impair drug metabolism. Vitamin C deficiency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decreases activity of drug-metabolizing enzymes, especially in the elderly.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>ENVIRONMENT: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autoSpaceDE w:val="0"/>
        <w:autoSpaceDN w:val="0"/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Although various kinds of environmental factors may alter the activity of cytochrome P-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450 enzymes in liver micromes, their effects on the pharmacokinetics of drugs and other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foreign compounds in living animals may not be as great as might be predicted from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assays of these enzymes in vitro. Indeed, the effects will depend on the relative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importance of excretory and metabolic mechanisms in the elimination of the drug, the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relative importance of various metabolic reactions in different tissues, the extraction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ratio of the drug by the liver, and in some instances on the route of administration of the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drug. Moreover, the effect of the various environmental factors on the pharmacologic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and the toxicologic actions of the drug will depend on whether these actions are caused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by the parent foreign compounds or by one or more of their metabolites. It may also be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important that the environmental factors may alter not only relative activiteis of the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cytochrome P-450 in liver microsomes but also the activities of other drug-metabolizing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enzymes and that the relative effects of the environmental factors of these enzymes may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differ depending on the animal species or the animal strain. Indeed, a given factor may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increase the pharmacologic effects of a drug metabolite in one animal species but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decrease it in another. For these reasons, it frequently is not possible to predict the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effects of environmental factors on drug action in living animals solely from in vitro rates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of metabolism of model substrates.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4</Pages>
  <Paragraphs>0</Paragraphs>
  <Words>99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ibezimemily</dc:creator>
  <cp:lastModifiedBy>ibezimemily</cp:lastModifiedBy>
</cp:coreProperties>
</file>