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34E" w:rsidRPr="00BE1415" w:rsidRDefault="00DF097F">
      <w:pPr>
        <w:rPr>
          <w:rFonts w:ascii="Times New Roman" w:hAnsi="Times New Roman" w:cs="Times New Roman"/>
          <w:sz w:val="24"/>
          <w:szCs w:val="24"/>
        </w:rPr>
      </w:pPr>
      <w:r w:rsidRPr="00BE1415">
        <w:rPr>
          <w:rFonts w:ascii="Times New Roman" w:hAnsi="Times New Roman" w:cs="Times New Roman"/>
          <w:sz w:val="24"/>
          <w:szCs w:val="24"/>
        </w:rPr>
        <w:t>NAME: ADENIRAN IFEOLUWA MABEL</w:t>
      </w:r>
    </w:p>
    <w:p w:rsidR="00DF097F" w:rsidRPr="00BE1415" w:rsidRDefault="00DF097F">
      <w:pPr>
        <w:rPr>
          <w:rFonts w:ascii="Times New Roman" w:hAnsi="Times New Roman" w:cs="Times New Roman"/>
          <w:sz w:val="24"/>
          <w:szCs w:val="24"/>
        </w:rPr>
      </w:pPr>
      <w:r w:rsidRPr="00BE1415">
        <w:rPr>
          <w:rFonts w:ascii="Times New Roman" w:hAnsi="Times New Roman" w:cs="Times New Roman"/>
          <w:sz w:val="24"/>
          <w:szCs w:val="24"/>
        </w:rPr>
        <w:t>MATRIC NO: 16/LAW01/004</w:t>
      </w:r>
    </w:p>
    <w:p w:rsidR="00DF097F" w:rsidRPr="00BE1415" w:rsidRDefault="00DF097F">
      <w:pPr>
        <w:rPr>
          <w:rFonts w:ascii="Times New Roman" w:hAnsi="Times New Roman" w:cs="Times New Roman"/>
          <w:sz w:val="24"/>
          <w:szCs w:val="24"/>
        </w:rPr>
      </w:pPr>
      <w:r w:rsidRPr="00BE1415">
        <w:rPr>
          <w:rFonts w:ascii="Times New Roman" w:hAnsi="Times New Roman" w:cs="Times New Roman"/>
          <w:sz w:val="24"/>
          <w:szCs w:val="24"/>
        </w:rPr>
        <w:t>COURSE CODE/ COURSE TITLE: LP1 406/ CONFLICT OF LAWS II</w:t>
      </w:r>
    </w:p>
    <w:p w:rsidR="00DF097F" w:rsidRPr="00BE1415" w:rsidRDefault="00DF097F">
      <w:pPr>
        <w:rPr>
          <w:rFonts w:ascii="Times New Roman" w:hAnsi="Times New Roman" w:cs="Times New Roman"/>
          <w:sz w:val="24"/>
          <w:szCs w:val="24"/>
        </w:rPr>
      </w:pPr>
      <w:r w:rsidRPr="00BE1415">
        <w:rPr>
          <w:rFonts w:ascii="Times New Roman" w:hAnsi="Times New Roman" w:cs="Times New Roman"/>
          <w:sz w:val="24"/>
          <w:szCs w:val="24"/>
        </w:rPr>
        <w:t>DATE TO BE SUBMITTED: 8th MAY 2020</w:t>
      </w:r>
    </w:p>
    <w:p w:rsidR="00DF097F" w:rsidRPr="00BE1415" w:rsidRDefault="00DF097F">
      <w:pPr>
        <w:rPr>
          <w:rFonts w:ascii="Times New Roman" w:hAnsi="Times New Roman" w:cs="Times New Roman"/>
          <w:sz w:val="24"/>
          <w:szCs w:val="24"/>
        </w:rPr>
      </w:pPr>
      <w:r w:rsidRPr="00BE1415">
        <w:rPr>
          <w:rFonts w:ascii="Times New Roman" w:hAnsi="Times New Roman" w:cs="Times New Roman"/>
          <w:sz w:val="24"/>
          <w:szCs w:val="24"/>
        </w:rPr>
        <w:t>ASSIGNMENT TITLE:</w:t>
      </w:r>
    </w:p>
    <w:p w:rsidR="00DF097F" w:rsidRPr="00BE1415" w:rsidRDefault="00DF097F" w:rsidP="00DF097F">
      <w:pPr>
        <w:pStyle w:val="ListParagraph"/>
        <w:numPr>
          <w:ilvl w:val="0"/>
          <w:numId w:val="1"/>
        </w:numPr>
        <w:rPr>
          <w:rFonts w:ascii="Times New Roman" w:hAnsi="Times New Roman" w:cs="Times New Roman"/>
          <w:sz w:val="24"/>
          <w:szCs w:val="24"/>
        </w:rPr>
      </w:pPr>
      <w:r w:rsidRPr="00BE1415">
        <w:rPr>
          <w:rFonts w:ascii="Times New Roman" w:hAnsi="Times New Roman" w:cs="Times New Roman"/>
          <w:sz w:val="24"/>
          <w:szCs w:val="24"/>
        </w:rPr>
        <w:t>Explain the term limping marriage</w:t>
      </w:r>
    </w:p>
    <w:p w:rsidR="00DF097F" w:rsidRPr="00BE1415" w:rsidRDefault="00DF097F" w:rsidP="00DF097F">
      <w:pPr>
        <w:pStyle w:val="ListParagraph"/>
        <w:ind w:left="717"/>
        <w:rPr>
          <w:rFonts w:ascii="Times New Roman" w:hAnsi="Times New Roman" w:cs="Times New Roman"/>
          <w:sz w:val="24"/>
          <w:szCs w:val="24"/>
        </w:rPr>
      </w:pPr>
      <w:r w:rsidRPr="00BE1415">
        <w:rPr>
          <w:rFonts w:ascii="Times New Roman" w:hAnsi="Times New Roman" w:cs="Times New Roman"/>
          <w:sz w:val="24"/>
          <w:szCs w:val="24"/>
        </w:rPr>
        <w:t xml:space="preserve">b) </w:t>
      </w:r>
      <w:r w:rsidR="006053D0" w:rsidRPr="00BE1415">
        <w:rPr>
          <w:rFonts w:ascii="Times New Roman" w:hAnsi="Times New Roman" w:cs="Times New Roman"/>
          <w:sz w:val="24"/>
          <w:szCs w:val="24"/>
        </w:rPr>
        <w:t>Identify</w:t>
      </w:r>
      <w:r w:rsidRPr="00BE1415">
        <w:rPr>
          <w:rFonts w:ascii="Times New Roman" w:hAnsi="Times New Roman" w:cs="Times New Roman"/>
          <w:sz w:val="24"/>
          <w:szCs w:val="24"/>
        </w:rPr>
        <w:t xml:space="preserve"> the ways, at common law, by which the incidence of limping marriage has been reduced</w:t>
      </w:r>
    </w:p>
    <w:p w:rsidR="00DF097F" w:rsidRPr="00BE1415" w:rsidRDefault="00DF097F" w:rsidP="00DF097F">
      <w:pPr>
        <w:ind w:left="0"/>
        <w:rPr>
          <w:rFonts w:ascii="Times New Roman" w:hAnsi="Times New Roman" w:cs="Times New Roman"/>
          <w:sz w:val="24"/>
          <w:szCs w:val="24"/>
        </w:rPr>
      </w:pPr>
      <w:r w:rsidRPr="00BE1415">
        <w:rPr>
          <w:rFonts w:ascii="Times New Roman" w:hAnsi="Times New Roman" w:cs="Times New Roman"/>
          <w:sz w:val="24"/>
          <w:szCs w:val="24"/>
        </w:rPr>
        <w:t xml:space="preserve">       2)  Explain succinctly, mutation or conversion of marriage in conflicts of laws</w:t>
      </w:r>
    </w:p>
    <w:p w:rsidR="00DF097F" w:rsidRPr="00BE1415" w:rsidRDefault="00DF2675" w:rsidP="00DF097F">
      <w:pPr>
        <w:ind w:left="0"/>
        <w:rPr>
          <w:rFonts w:ascii="Times New Roman" w:hAnsi="Times New Roman" w:cs="Times New Roman"/>
          <w:sz w:val="24"/>
          <w:szCs w:val="24"/>
        </w:rPr>
      </w:pPr>
      <w:bookmarkStart w:id="0" w:name="_GoBack"/>
      <w:bookmarkEnd w:id="0"/>
      <w:r w:rsidRPr="00BE1415">
        <w:rPr>
          <w:rFonts w:ascii="Times New Roman" w:hAnsi="Times New Roman" w:cs="Times New Roman"/>
          <w:sz w:val="24"/>
          <w:szCs w:val="24"/>
        </w:rPr>
        <w:t xml:space="preserve">      </w:t>
      </w:r>
    </w:p>
    <w:p w:rsidR="00DF2675" w:rsidRPr="00BE1415" w:rsidRDefault="00DF2675" w:rsidP="00DF097F">
      <w:pPr>
        <w:ind w:left="0"/>
        <w:rPr>
          <w:rFonts w:ascii="Times New Roman" w:hAnsi="Times New Roman" w:cs="Times New Roman"/>
          <w:sz w:val="24"/>
          <w:szCs w:val="24"/>
        </w:rPr>
      </w:pPr>
    </w:p>
    <w:p w:rsidR="00DF2675" w:rsidRPr="00BE1415" w:rsidRDefault="00DF2675" w:rsidP="00DF097F">
      <w:pPr>
        <w:ind w:left="0"/>
        <w:rPr>
          <w:rFonts w:ascii="Times New Roman" w:hAnsi="Times New Roman" w:cs="Times New Roman"/>
          <w:sz w:val="24"/>
          <w:szCs w:val="24"/>
        </w:rPr>
      </w:pPr>
    </w:p>
    <w:p w:rsidR="00DF2675" w:rsidRPr="00BE1415" w:rsidRDefault="00DF2675" w:rsidP="00DF097F">
      <w:pPr>
        <w:ind w:left="0"/>
        <w:rPr>
          <w:rFonts w:ascii="Times New Roman" w:hAnsi="Times New Roman" w:cs="Times New Roman"/>
          <w:sz w:val="24"/>
          <w:szCs w:val="24"/>
        </w:rPr>
      </w:pPr>
      <w:r w:rsidRPr="00BE1415">
        <w:rPr>
          <w:rFonts w:ascii="Times New Roman" w:hAnsi="Times New Roman" w:cs="Times New Roman"/>
          <w:sz w:val="24"/>
          <w:szCs w:val="24"/>
        </w:rPr>
        <w:t>LIMPING MARRIAGES</w:t>
      </w:r>
    </w:p>
    <w:p w:rsidR="00DF2675" w:rsidRPr="00BE1415" w:rsidRDefault="00792ADB" w:rsidP="00DF097F">
      <w:pPr>
        <w:ind w:left="0"/>
        <w:rPr>
          <w:rFonts w:ascii="Times New Roman" w:hAnsi="Times New Roman" w:cs="Times New Roman"/>
          <w:sz w:val="24"/>
          <w:szCs w:val="24"/>
        </w:rPr>
      </w:pPr>
      <w:r w:rsidRPr="00BE1415">
        <w:rPr>
          <w:rFonts w:ascii="Times New Roman" w:hAnsi="Times New Roman" w:cs="Times New Roman"/>
          <w:sz w:val="24"/>
          <w:szCs w:val="24"/>
        </w:rPr>
        <w:t>Limping marriage is a situation created by failure to recognize the decree</w:t>
      </w:r>
      <w:r w:rsidR="00B01592" w:rsidRPr="00BE1415">
        <w:rPr>
          <w:rFonts w:ascii="Times New Roman" w:hAnsi="Times New Roman" w:cs="Times New Roman"/>
          <w:sz w:val="24"/>
          <w:szCs w:val="24"/>
        </w:rPr>
        <w:t xml:space="preserve"> of dissolution of marriage</w:t>
      </w:r>
      <w:r w:rsidRPr="00BE1415">
        <w:rPr>
          <w:rFonts w:ascii="Times New Roman" w:hAnsi="Times New Roman" w:cs="Times New Roman"/>
          <w:sz w:val="24"/>
          <w:szCs w:val="24"/>
        </w:rPr>
        <w:t xml:space="preserve"> granted by the court</w:t>
      </w:r>
      <w:r w:rsidR="009D065D" w:rsidRPr="00BE1415">
        <w:rPr>
          <w:rFonts w:ascii="Times New Roman" w:hAnsi="Times New Roman" w:cs="Times New Roman"/>
          <w:sz w:val="24"/>
          <w:szCs w:val="24"/>
        </w:rPr>
        <w:t xml:space="preserve">s of other </w:t>
      </w:r>
      <w:r w:rsidR="00B01592" w:rsidRPr="00BE1415">
        <w:rPr>
          <w:rFonts w:ascii="Times New Roman" w:hAnsi="Times New Roman" w:cs="Times New Roman"/>
          <w:sz w:val="24"/>
          <w:szCs w:val="24"/>
        </w:rPr>
        <w:t xml:space="preserve">countries. </w:t>
      </w:r>
      <w:r w:rsidRPr="00BE1415">
        <w:rPr>
          <w:rFonts w:ascii="Times New Roman" w:hAnsi="Times New Roman" w:cs="Times New Roman"/>
          <w:sz w:val="24"/>
          <w:szCs w:val="24"/>
        </w:rPr>
        <w:t>This is because in one country</w:t>
      </w:r>
      <w:r w:rsidR="009D065D" w:rsidRPr="00BE1415">
        <w:rPr>
          <w:rFonts w:ascii="Times New Roman" w:hAnsi="Times New Roman" w:cs="Times New Roman"/>
          <w:sz w:val="24"/>
          <w:szCs w:val="24"/>
        </w:rPr>
        <w:t xml:space="preserve"> </w:t>
      </w:r>
      <w:r w:rsidRPr="00BE1415">
        <w:rPr>
          <w:rFonts w:ascii="Times New Roman" w:hAnsi="Times New Roman" w:cs="Times New Roman"/>
          <w:sz w:val="24"/>
          <w:szCs w:val="24"/>
        </w:rPr>
        <w:t xml:space="preserve">(where the decree was granted)the couple is no longer married, but in another </w:t>
      </w:r>
      <w:r w:rsidR="009D065D" w:rsidRPr="00BE1415">
        <w:rPr>
          <w:rFonts w:ascii="Times New Roman" w:hAnsi="Times New Roman" w:cs="Times New Roman"/>
          <w:sz w:val="24"/>
          <w:szCs w:val="24"/>
        </w:rPr>
        <w:t xml:space="preserve">country whose courts do not </w:t>
      </w:r>
      <w:r w:rsidRPr="00BE1415">
        <w:rPr>
          <w:rFonts w:ascii="Times New Roman" w:hAnsi="Times New Roman" w:cs="Times New Roman"/>
          <w:sz w:val="24"/>
          <w:szCs w:val="24"/>
        </w:rPr>
        <w:t>recognise the foreign decree</w:t>
      </w:r>
      <w:r w:rsidR="009D065D" w:rsidRPr="00BE1415">
        <w:rPr>
          <w:rFonts w:ascii="Times New Roman" w:hAnsi="Times New Roman" w:cs="Times New Roman"/>
          <w:sz w:val="24"/>
          <w:szCs w:val="24"/>
        </w:rPr>
        <w:t xml:space="preserve"> of dissolution, the couple is still married and any attempt for any parties to contract another marriage in that country would be invalid, the marriage would be void.</w:t>
      </w:r>
      <w:r w:rsidR="00926B8D" w:rsidRPr="00BE1415">
        <w:rPr>
          <w:rFonts w:ascii="Times New Roman" w:hAnsi="Times New Roman" w:cs="Times New Roman"/>
          <w:sz w:val="24"/>
          <w:szCs w:val="24"/>
        </w:rPr>
        <w:t xml:space="preserve">  In the case of </w:t>
      </w:r>
      <w:r w:rsidR="00926B8D" w:rsidRPr="00BE1415">
        <w:rPr>
          <w:rFonts w:ascii="Times New Roman" w:hAnsi="Times New Roman" w:cs="Times New Roman"/>
          <w:b/>
          <w:sz w:val="24"/>
          <w:szCs w:val="24"/>
        </w:rPr>
        <w:t>Padolecchia v. Padolecchia</w:t>
      </w:r>
      <w:r w:rsidR="00926B8D" w:rsidRPr="00BE1415">
        <w:rPr>
          <w:rStyle w:val="FootnoteReference"/>
          <w:rFonts w:ascii="Times New Roman" w:hAnsi="Times New Roman" w:cs="Times New Roman"/>
          <w:sz w:val="24"/>
          <w:szCs w:val="24"/>
        </w:rPr>
        <w:footnoteReference w:id="2"/>
      </w:r>
      <w:r w:rsidR="002B52BC" w:rsidRPr="00BE1415">
        <w:rPr>
          <w:rFonts w:ascii="Times New Roman" w:hAnsi="Times New Roman" w:cs="Times New Roman"/>
          <w:b/>
          <w:sz w:val="24"/>
          <w:szCs w:val="24"/>
        </w:rPr>
        <w:t xml:space="preserve">, </w:t>
      </w:r>
      <w:r w:rsidR="002B52BC" w:rsidRPr="00BE1415">
        <w:rPr>
          <w:rFonts w:ascii="Times New Roman" w:hAnsi="Times New Roman" w:cs="Times New Roman"/>
          <w:sz w:val="24"/>
          <w:szCs w:val="24"/>
        </w:rPr>
        <w:t>the husband was domiciled in Italy. He got married there in 1943 but later obtained a divorce in Mexico. This decree was not recognised in Italy. He however proceeded to contract another marriage in England. He later petitioned for a nullity decree with regards to his second marriage o the ground that he was still married to his first wife since the Mexican decree was not recognized by the law of his domicile. The court held that he lacked to contract the second marriage since his first marriage was still subsisting.</w:t>
      </w:r>
    </w:p>
    <w:p w:rsidR="00926B8D" w:rsidRPr="00BE1415" w:rsidRDefault="00926B8D" w:rsidP="00DF097F">
      <w:pPr>
        <w:ind w:left="0"/>
        <w:rPr>
          <w:rFonts w:ascii="Times New Roman" w:hAnsi="Times New Roman" w:cs="Times New Roman"/>
          <w:b/>
          <w:sz w:val="24"/>
          <w:szCs w:val="24"/>
        </w:rPr>
      </w:pPr>
    </w:p>
    <w:p w:rsidR="0094233A" w:rsidRPr="00BE1415" w:rsidRDefault="0094233A" w:rsidP="00DF097F">
      <w:pPr>
        <w:ind w:left="0"/>
        <w:rPr>
          <w:rFonts w:ascii="Times New Roman" w:hAnsi="Times New Roman" w:cs="Times New Roman"/>
          <w:sz w:val="24"/>
          <w:szCs w:val="24"/>
        </w:rPr>
      </w:pPr>
      <w:r w:rsidRPr="00BE1415">
        <w:rPr>
          <w:rFonts w:ascii="Times New Roman" w:hAnsi="Times New Roman" w:cs="Times New Roman"/>
          <w:sz w:val="24"/>
          <w:szCs w:val="24"/>
        </w:rPr>
        <w:t>This phenomenon has been described as ‘the scandal which arises when a man and a woman are held to be a man and wife in one country and strangers in another.’</w:t>
      </w:r>
      <w:r w:rsidRPr="00BE1415">
        <w:rPr>
          <w:rStyle w:val="FootnoteReference"/>
          <w:rFonts w:ascii="Times New Roman" w:hAnsi="Times New Roman" w:cs="Times New Roman"/>
          <w:sz w:val="24"/>
          <w:szCs w:val="24"/>
        </w:rPr>
        <w:footnoteReference w:id="3"/>
      </w:r>
      <w:r w:rsidRPr="00BE1415">
        <w:rPr>
          <w:rFonts w:ascii="Times New Roman" w:hAnsi="Times New Roman" w:cs="Times New Roman"/>
          <w:sz w:val="24"/>
          <w:szCs w:val="24"/>
        </w:rPr>
        <w:t xml:space="preserve"> In order to avoid this problem, the House of Lords, in the case of </w:t>
      </w:r>
      <w:r w:rsidRPr="00BE1415">
        <w:rPr>
          <w:rFonts w:ascii="Times New Roman" w:hAnsi="Times New Roman" w:cs="Times New Roman"/>
          <w:b/>
          <w:sz w:val="24"/>
          <w:szCs w:val="24"/>
        </w:rPr>
        <w:t>Indyka v. Indyka</w:t>
      </w:r>
      <w:r w:rsidRPr="00BE1415">
        <w:rPr>
          <w:rStyle w:val="FootnoteReference"/>
          <w:rFonts w:ascii="Times New Roman" w:hAnsi="Times New Roman" w:cs="Times New Roman"/>
          <w:b/>
          <w:sz w:val="24"/>
          <w:szCs w:val="24"/>
        </w:rPr>
        <w:footnoteReference w:id="4"/>
      </w:r>
      <w:r w:rsidRPr="00BE1415">
        <w:rPr>
          <w:rFonts w:ascii="Times New Roman" w:hAnsi="Times New Roman" w:cs="Times New Roman"/>
          <w:sz w:val="24"/>
          <w:szCs w:val="24"/>
        </w:rPr>
        <w:t xml:space="preserve"> came up with the test </w:t>
      </w:r>
      <w:r w:rsidR="00B96D74" w:rsidRPr="00BE1415">
        <w:rPr>
          <w:rFonts w:ascii="Times New Roman" w:hAnsi="Times New Roman" w:cs="Times New Roman"/>
          <w:sz w:val="24"/>
          <w:szCs w:val="24"/>
        </w:rPr>
        <w:t xml:space="preserve">of ‘real and substantial connection.’ Thus, for a foreign decree to be recognised, the parties were only required to show a ‘real and substantial connection’ with the foreign country in question and the strict rules on domicile </w:t>
      </w:r>
      <w:r w:rsidR="002A6185" w:rsidRPr="00BE1415">
        <w:rPr>
          <w:rFonts w:ascii="Times New Roman" w:hAnsi="Times New Roman" w:cs="Times New Roman"/>
          <w:sz w:val="24"/>
          <w:szCs w:val="24"/>
        </w:rPr>
        <w:t>was</w:t>
      </w:r>
      <w:r w:rsidR="00B96D74" w:rsidRPr="00BE1415">
        <w:rPr>
          <w:rFonts w:ascii="Times New Roman" w:hAnsi="Times New Roman" w:cs="Times New Roman"/>
          <w:sz w:val="24"/>
          <w:szCs w:val="24"/>
        </w:rPr>
        <w:t xml:space="preserve"> relaxed</w:t>
      </w:r>
    </w:p>
    <w:p w:rsidR="002B1562" w:rsidRPr="00BE1415" w:rsidRDefault="006053D0" w:rsidP="00DF097F">
      <w:pPr>
        <w:ind w:left="0"/>
        <w:rPr>
          <w:rFonts w:ascii="Times New Roman" w:hAnsi="Times New Roman" w:cs="Times New Roman"/>
          <w:sz w:val="24"/>
          <w:szCs w:val="24"/>
        </w:rPr>
      </w:pPr>
      <w:r w:rsidRPr="00BE1415">
        <w:rPr>
          <w:rFonts w:ascii="Times New Roman" w:hAnsi="Times New Roman" w:cs="Times New Roman"/>
          <w:sz w:val="24"/>
          <w:szCs w:val="24"/>
        </w:rPr>
        <w:lastRenderedPageBreak/>
        <w:t xml:space="preserve">2. </w:t>
      </w:r>
      <w:r w:rsidR="002503D0" w:rsidRPr="00BE1415">
        <w:rPr>
          <w:rFonts w:ascii="Times New Roman" w:hAnsi="Times New Roman" w:cs="Times New Roman"/>
          <w:sz w:val="24"/>
          <w:szCs w:val="24"/>
        </w:rPr>
        <w:t xml:space="preserve"> </w:t>
      </w:r>
      <w:r w:rsidR="002503D0" w:rsidRPr="0014210F">
        <w:rPr>
          <w:rFonts w:ascii="Times New Roman" w:hAnsi="Times New Roman" w:cs="Times New Roman"/>
          <w:sz w:val="32"/>
          <w:szCs w:val="32"/>
        </w:rPr>
        <w:t>Mutation and conversion of marriage in conflict of laws</w:t>
      </w:r>
    </w:p>
    <w:p w:rsidR="004B46D8" w:rsidRPr="00BE1415" w:rsidRDefault="002B1562" w:rsidP="00DF097F">
      <w:pPr>
        <w:ind w:left="0"/>
        <w:rPr>
          <w:rFonts w:ascii="Times New Roman" w:hAnsi="Times New Roman" w:cs="Times New Roman"/>
          <w:sz w:val="24"/>
          <w:szCs w:val="24"/>
        </w:rPr>
      </w:pPr>
      <w:r w:rsidRPr="00BE1415">
        <w:rPr>
          <w:rFonts w:ascii="Times New Roman" w:hAnsi="Times New Roman" w:cs="Times New Roman"/>
          <w:sz w:val="24"/>
          <w:szCs w:val="24"/>
        </w:rPr>
        <w:t xml:space="preserve">              Ever since the decision in </w:t>
      </w:r>
      <w:r w:rsidRPr="004A4C6B">
        <w:rPr>
          <w:rFonts w:ascii="Times New Roman" w:hAnsi="Times New Roman" w:cs="Times New Roman"/>
          <w:b/>
          <w:sz w:val="24"/>
          <w:szCs w:val="24"/>
        </w:rPr>
        <w:t>Hyde v. Hyde</w:t>
      </w:r>
      <w:r w:rsidR="004A4C6B">
        <w:rPr>
          <w:rStyle w:val="FootnoteReference"/>
          <w:rFonts w:ascii="Times New Roman" w:hAnsi="Times New Roman" w:cs="Times New Roman"/>
          <w:b/>
          <w:sz w:val="24"/>
          <w:szCs w:val="24"/>
        </w:rPr>
        <w:footnoteReference w:id="5"/>
      </w:r>
      <w:r w:rsidRPr="00BE1415">
        <w:rPr>
          <w:rFonts w:ascii="Times New Roman" w:hAnsi="Times New Roman" w:cs="Times New Roman"/>
          <w:sz w:val="24"/>
          <w:szCs w:val="24"/>
        </w:rPr>
        <w:t xml:space="preserve"> (now more than a century ol</w:t>
      </w:r>
      <w:r w:rsidR="00587C6F">
        <w:rPr>
          <w:rFonts w:ascii="Times New Roman" w:hAnsi="Times New Roman" w:cs="Times New Roman"/>
          <w:sz w:val="24"/>
          <w:szCs w:val="24"/>
        </w:rPr>
        <w:t>d) common law</w:t>
      </w:r>
      <w:r w:rsidRPr="00BE1415">
        <w:rPr>
          <w:rFonts w:ascii="Times New Roman" w:hAnsi="Times New Roman" w:cs="Times New Roman"/>
          <w:sz w:val="24"/>
          <w:szCs w:val="24"/>
        </w:rPr>
        <w:t xml:space="preserve"> have declined to grant matrimonial relief in respect of a polygamous marriage. Until recently it was generally thought that the nature or character of a marriage is immutably determined by the law of the place of celebration. In recent years it has been conceded that the character of a marriage may be changed from polygamous to monogamous.</w:t>
      </w:r>
      <w:r w:rsidR="004B46D8" w:rsidRPr="00BE1415">
        <w:rPr>
          <w:rFonts w:ascii="Times New Roman" w:hAnsi="Times New Roman" w:cs="Times New Roman"/>
          <w:sz w:val="24"/>
          <w:szCs w:val="24"/>
        </w:rPr>
        <w:t xml:space="preserve"> An example of case where such a mutation was recognised is in </w:t>
      </w:r>
      <w:r w:rsidR="004B46D8" w:rsidRPr="00BE1415">
        <w:rPr>
          <w:rFonts w:ascii="Times New Roman" w:hAnsi="Times New Roman" w:cs="Times New Roman"/>
          <w:b/>
          <w:sz w:val="24"/>
          <w:szCs w:val="24"/>
        </w:rPr>
        <w:t>Cheni v. Cheni</w:t>
      </w:r>
      <w:r w:rsidR="004A4C6B">
        <w:rPr>
          <w:rStyle w:val="FootnoteReference"/>
          <w:rFonts w:ascii="Times New Roman" w:hAnsi="Times New Roman" w:cs="Times New Roman"/>
          <w:b/>
          <w:sz w:val="24"/>
          <w:szCs w:val="24"/>
        </w:rPr>
        <w:footnoteReference w:id="6"/>
      </w:r>
      <w:r w:rsidR="004B46D8" w:rsidRPr="00BE1415">
        <w:rPr>
          <w:rFonts w:ascii="Times New Roman" w:hAnsi="Times New Roman" w:cs="Times New Roman"/>
          <w:sz w:val="24"/>
          <w:szCs w:val="24"/>
        </w:rPr>
        <w:t xml:space="preserve">, the change was in accordance with the law of the place of celebration itself. </w:t>
      </w:r>
    </w:p>
    <w:p w:rsidR="00926B8D" w:rsidRPr="00BE1415" w:rsidRDefault="004B46D8" w:rsidP="00DF097F">
      <w:pPr>
        <w:ind w:left="0"/>
        <w:rPr>
          <w:rFonts w:ascii="Times New Roman" w:hAnsi="Times New Roman" w:cs="Times New Roman"/>
          <w:sz w:val="24"/>
          <w:szCs w:val="24"/>
        </w:rPr>
      </w:pPr>
      <w:r w:rsidRPr="00BE1415">
        <w:rPr>
          <w:rFonts w:ascii="Times New Roman" w:hAnsi="Times New Roman" w:cs="Times New Roman"/>
          <w:sz w:val="24"/>
          <w:szCs w:val="24"/>
        </w:rPr>
        <w:t xml:space="preserve">In addition, In </w:t>
      </w:r>
      <w:r w:rsidRPr="00BE1415">
        <w:rPr>
          <w:rFonts w:ascii="Times New Roman" w:hAnsi="Times New Roman" w:cs="Times New Roman"/>
          <w:b/>
          <w:sz w:val="24"/>
          <w:szCs w:val="24"/>
        </w:rPr>
        <w:t>Ali v. Ali</w:t>
      </w:r>
      <w:r w:rsidR="004A4C6B">
        <w:rPr>
          <w:rStyle w:val="FootnoteReference"/>
          <w:rFonts w:ascii="Times New Roman" w:hAnsi="Times New Roman" w:cs="Times New Roman"/>
          <w:b/>
          <w:sz w:val="24"/>
          <w:szCs w:val="24"/>
        </w:rPr>
        <w:footnoteReference w:id="7"/>
      </w:r>
      <w:r w:rsidRPr="00BE1415">
        <w:rPr>
          <w:rFonts w:ascii="Times New Roman" w:hAnsi="Times New Roman" w:cs="Times New Roman"/>
          <w:sz w:val="24"/>
          <w:szCs w:val="24"/>
        </w:rPr>
        <w:t xml:space="preserve"> </w:t>
      </w:r>
      <w:r w:rsidR="008C0119">
        <w:rPr>
          <w:rFonts w:ascii="Times New Roman" w:hAnsi="Times New Roman" w:cs="Times New Roman"/>
          <w:sz w:val="24"/>
          <w:szCs w:val="24"/>
        </w:rPr>
        <w:t xml:space="preserve">where it was established that it could be done by change in domicile. In this case, </w:t>
      </w:r>
      <w:r w:rsidRPr="00BE1415">
        <w:rPr>
          <w:rFonts w:ascii="Times New Roman" w:hAnsi="Times New Roman" w:cs="Times New Roman"/>
          <w:sz w:val="24"/>
          <w:szCs w:val="24"/>
        </w:rPr>
        <w:t>the husband was born in India. At the age of 24 he came to England, obtaining a job and living permanently there. Four years later he returned to India where he married an Indian wife chosen by his father. The ceremony took place according to the rites of the Muslim faith which was the religion of both parties. By Muslim law the husband was permitted to take further wives. The marriage was therefore potentially polygamous at its inception. The husband left for England shortly after the marriage and resumed his employment there. The learned judge (Cumming-Bruce, J.) decided that by the middle of 1961 he had acquired a domicile of choice in England. The wife followed and cohabited with her husband in England. In 1959 the husband applied for British nationality and in the same year a child was born to the parties, shortly thereafter the wife left the matrimonial home with the child and returned to India. In 1960 the husband obtained a British passport, continuing to live permanently in England. In 1964 he began living with a woman and a child was born of this relationship. In 1963 the husband petitioned for divorce on the ground of desertion. The wife denied desertion and alleged cruelty. She also alleged that the Court had no jurisdiction on the ground th</w:t>
      </w:r>
      <w:r w:rsidR="00F85AD4">
        <w:rPr>
          <w:rFonts w:ascii="Times New Roman" w:hAnsi="Times New Roman" w:cs="Times New Roman"/>
          <w:sz w:val="24"/>
          <w:szCs w:val="24"/>
        </w:rPr>
        <w:t>at the marriage was polygamous .</w:t>
      </w:r>
      <w:r w:rsidR="00F85AD4" w:rsidRPr="00BE1415">
        <w:rPr>
          <w:rFonts w:ascii="Times New Roman" w:hAnsi="Times New Roman" w:cs="Times New Roman"/>
          <w:sz w:val="24"/>
          <w:szCs w:val="24"/>
        </w:rPr>
        <w:t>In</w:t>
      </w:r>
      <w:r w:rsidRPr="00BE1415">
        <w:rPr>
          <w:rFonts w:ascii="Times New Roman" w:hAnsi="Times New Roman" w:cs="Times New Roman"/>
          <w:sz w:val="24"/>
          <w:szCs w:val="24"/>
        </w:rPr>
        <w:t xml:space="preserve"> 1964, when the husband committed adultery, the wife cross-petitioned for </w:t>
      </w:r>
      <w:r w:rsidR="00F85AD4" w:rsidRPr="00BE1415">
        <w:rPr>
          <w:rFonts w:ascii="Times New Roman" w:hAnsi="Times New Roman" w:cs="Times New Roman"/>
          <w:sz w:val="24"/>
          <w:szCs w:val="24"/>
        </w:rPr>
        <w:t>dissolution</w:t>
      </w:r>
      <w:r w:rsidRPr="00BE1415">
        <w:rPr>
          <w:rFonts w:ascii="Times New Roman" w:hAnsi="Times New Roman" w:cs="Times New Roman"/>
          <w:sz w:val="24"/>
          <w:szCs w:val="24"/>
        </w:rPr>
        <w:t xml:space="preserve"> of the marriage on this ground.</w:t>
      </w:r>
    </w:p>
    <w:p w:rsidR="00E6476F" w:rsidRPr="00BE1415" w:rsidRDefault="00E6476F" w:rsidP="00DF097F">
      <w:pPr>
        <w:ind w:left="0"/>
        <w:rPr>
          <w:rFonts w:ascii="Times New Roman" w:hAnsi="Times New Roman" w:cs="Times New Roman"/>
          <w:sz w:val="24"/>
          <w:szCs w:val="24"/>
        </w:rPr>
      </w:pPr>
      <w:r w:rsidRPr="00BE1415">
        <w:rPr>
          <w:rFonts w:ascii="Times New Roman" w:hAnsi="Times New Roman" w:cs="Times New Roman"/>
          <w:sz w:val="24"/>
          <w:szCs w:val="24"/>
        </w:rPr>
        <w:t>The suits were heard by Cumming-Bruce, J. who held that the Court could not exercise jurisdiction in respect of the offences of desertion and cruelty because they took place, if at all, at a time when the marriage was still polygamous</w:t>
      </w:r>
      <w:r w:rsidRPr="00BE1415">
        <w:rPr>
          <w:rFonts w:ascii="Times New Roman" w:hAnsi="Times New Roman" w:cs="Times New Roman"/>
          <w:b/>
          <w:sz w:val="24"/>
          <w:szCs w:val="24"/>
        </w:rPr>
        <w:t>. However, the learned judge granted the wife a decree nisi on the ground of adultery as this offence took place after the character of the marriage had been rendered monogamous by the acquisition of an English domicile of choice by the husband</w:t>
      </w:r>
      <w:r w:rsidRPr="00BE1415">
        <w:rPr>
          <w:rFonts w:ascii="Times New Roman" w:hAnsi="Times New Roman" w:cs="Times New Roman"/>
          <w:sz w:val="24"/>
          <w:szCs w:val="24"/>
        </w:rPr>
        <w:t xml:space="preserve">. In reaching this conclusion, Cumming-Bruce, J. first considered the legal characteristics of the type of marriage over which English courts can exercise jurisdiction to pronounce a decree of divorce. His Lordship referred to Dicey Rule 38: and concluded that the vital characteristic required is that of an exclusive voluntary union of one man and one woman for life. </w:t>
      </w:r>
    </w:p>
    <w:p w:rsidR="00F85AD4" w:rsidRDefault="00E6476F" w:rsidP="00F85AD4">
      <w:pPr>
        <w:rPr>
          <w:rFonts w:ascii="Times New Roman" w:hAnsi="Times New Roman" w:cs="Times New Roman"/>
          <w:sz w:val="24"/>
          <w:szCs w:val="24"/>
        </w:rPr>
      </w:pPr>
      <w:r w:rsidRPr="00BE1415">
        <w:rPr>
          <w:rFonts w:ascii="Times New Roman" w:hAnsi="Times New Roman" w:cs="Times New Roman"/>
          <w:sz w:val="24"/>
          <w:szCs w:val="24"/>
        </w:rPr>
        <w:t>Secondly, his Lordship decided that a marriage potentially polygamous at its inception may be subsequently impressed with a monogamous character so as to found the jurisdiction of an English court.</w:t>
      </w:r>
      <w:r w:rsidR="00A67F17" w:rsidRPr="00BE1415">
        <w:rPr>
          <w:sz w:val="24"/>
          <w:szCs w:val="24"/>
        </w:rPr>
        <w:t xml:space="preserve"> </w:t>
      </w:r>
      <w:r w:rsidR="00A67F17" w:rsidRPr="00BE1415">
        <w:rPr>
          <w:rFonts w:ascii="Times New Roman" w:hAnsi="Times New Roman" w:cs="Times New Roman"/>
          <w:sz w:val="24"/>
          <w:szCs w:val="24"/>
        </w:rPr>
        <w:t xml:space="preserve">. </w:t>
      </w:r>
      <w:r w:rsidR="00A67F17" w:rsidRPr="00BE1415">
        <w:rPr>
          <w:rFonts w:ascii="Times New Roman" w:hAnsi="Times New Roman" w:cs="Times New Roman"/>
          <w:b/>
          <w:sz w:val="24"/>
          <w:szCs w:val="24"/>
        </w:rPr>
        <w:t xml:space="preserve">Cheni v, Cheni </w:t>
      </w:r>
      <w:r w:rsidR="00A67F17" w:rsidRPr="00BE1415">
        <w:rPr>
          <w:rFonts w:ascii="Times New Roman" w:hAnsi="Times New Roman" w:cs="Times New Roman"/>
          <w:sz w:val="24"/>
          <w:szCs w:val="24"/>
        </w:rPr>
        <w:t>was relied on in support. Cumming-</w:t>
      </w:r>
      <w:r w:rsidR="00A67F17" w:rsidRPr="00BE1415">
        <w:rPr>
          <w:rFonts w:ascii="Times New Roman" w:hAnsi="Times New Roman" w:cs="Times New Roman"/>
          <w:sz w:val="24"/>
          <w:szCs w:val="24"/>
        </w:rPr>
        <w:lastRenderedPageBreak/>
        <w:t xml:space="preserve">Bruce, J. further investigated the precise effect of the acquisition of an English domicile by the husband. His Lordship concluded thus: "He has, by operation of the personal law which he has made his own, precluded himself from polygamous marriage to a second wife although he has not changed his religion. On the assumption that the law of England does not permit a domiciled Englishman to contract a valid polygamous marriage, Ali had by acquiring an English domicile lost the capacity to contract fresh marriages. Cumming-Bruce, J. went on to consider the important question of whether the acquisition of an English domicile had the effect of impressing a monogamous character on the potentially polygamous marriage. His Lordship relied on the dictum of </w:t>
      </w:r>
      <w:r w:rsidR="00D23F69" w:rsidRPr="00BE1415">
        <w:rPr>
          <w:rFonts w:ascii="Times New Roman" w:hAnsi="Times New Roman" w:cs="Times New Roman"/>
          <w:b/>
          <w:sz w:val="24"/>
          <w:szCs w:val="24"/>
        </w:rPr>
        <w:t xml:space="preserve">Sir Jocelyn Simon </w:t>
      </w:r>
      <w:r w:rsidR="00A67F17" w:rsidRPr="00BE1415">
        <w:rPr>
          <w:rFonts w:ascii="Times New Roman" w:hAnsi="Times New Roman" w:cs="Times New Roman"/>
          <w:b/>
          <w:sz w:val="24"/>
          <w:szCs w:val="24"/>
        </w:rPr>
        <w:t>P</w:t>
      </w:r>
      <w:r w:rsidR="00D23F69" w:rsidRPr="00BE1415">
        <w:rPr>
          <w:rFonts w:ascii="Times New Roman" w:hAnsi="Times New Roman" w:cs="Times New Roman"/>
          <w:b/>
          <w:sz w:val="24"/>
          <w:szCs w:val="24"/>
        </w:rPr>
        <w:t xml:space="preserve">, </w:t>
      </w:r>
      <w:r w:rsidR="00A67F17" w:rsidRPr="00BE1415">
        <w:rPr>
          <w:rFonts w:ascii="Times New Roman" w:hAnsi="Times New Roman" w:cs="Times New Roman"/>
          <w:sz w:val="24"/>
          <w:szCs w:val="24"/>
        </w:rPr>
        <w:t xml:space="preserve">in </w:t>
      </w:r>
      <w:r w:rsidR="00A67F17" w:rsidRPr="00BE1415">
        <w:rPr>
          <w:rFonts w:ascii="Times New Roman" w:hAnsi="Times New Roman" w:cs="Times New Roman"/>
          <w:b/>
          <w:sz w:val="24"/>
          <w:szCs w:val="24"/>
        </w:rPr>
        <w:t xml:space="preserve">Cheni v. Cheni </w:t>
      </w:r>
      <w:r w:rsidR="00A67F17" w:rsidRPr="00BE1415">
        <w:rPr>
          <w:rFonts w:ascii="Times New Roman" w:hAnsi="Times New Roman" w:cs="Times New Roman"/>
          <w:sz w:val="24"/>
          <w:szCs w:val="24"/>
        </w:rPr>
        <w:t>to the effect that change of domicile may be effective to alter the nature of a union. "The chief difficulty" felt by the learned judge was to determine whether change of domicile did more than merely "frustrate one of the features of the potentially polygamous union.</w:t>
      </w:r>
      <w:r w:rsidR="00BE1415" w:rsidRPr="00BE1415">
        <w:rPr>
          <w:rFonts w:ascii="Times New Roman" w:hAnsi="Times New Roman" w:cs="Times New Roman"/>
          <w:sz w:val="24"/>
          <w:szCs w:val="24"/>
        </w:rPr>
        <w:t xml:space="preserve"> His Lordship indicated that there had been no active assertion of monogamous intent and that it could not be said that the acquisition of an English domicile by the husband was intended to actively alter the character of the union. While agreeing that the legal validity of a marriage did not depend on personal intention, his Lordship thought it was "at the very least curious that a union originally polygamous should change its legal character without any conscious act on the part of either of the parties directed to that end."However, the learned judge accepted the point as an anomaly, comparing change by domicile with change by legislation in this respect. It is implicit in his Lordship's judgment that intention on the part of the husband alone to acquire a domicile may be sufficient to effect a conversion to monogamy</w:t>
      </w:r>
      <w:r w:rsidR="00BE1415">
        <w:rPr>
          <w:rFonts w:ascii="Times New Roman" w:hAnsi="Times New Roman" w:cs="Times New Roman"/>
          <w:sz w:val="24"/>
          <w:szCs w:val="24"/>
        </w:rPr>
        <w:t>.</w:t>
      </w:r>
      <w:r w:rsidR="00F85AD4" w:rsidRPr="00F85AD4">
        <w:t xml:space="preserve"> </w:t>
      </w:r>
      <w:r w:rsidR="00F85AD4" w:rsidRPr="00F85AD4">
        <w:rPr>
          <w:rFonts w:ascii="Times New Roman" w:hAnsi="Times New Roman" w:cs="Times New Roman"/>
          <w:sz w:val="24"/>
          <w:szCs w:val="24"/>
        </w:rPr>
        <w:t xml:space="preserve">. His Lordship considered Hyde v. Hyde. If monogamous character can be impressed upon a potentially polygamous marriage, on what basis may that decision be explained? In that case the husband had acquired an English domicile before his wife married a second time and allegedly committed adultery by doing so. He had also changed his religion. The answer given by Cumming-Bruce, J. was that the importance of the concept of domicile in relation to the capacity to marry was at the time only "dimly appreciated". Ali v. Ali raises a number of questions. </w:t>
      </w:r>
    </w:p>
    <w:p w:rsidR="00F85AD4" w:rsidRDefault="00F85AD4" w:rsidP="00F85A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w:t>
      </w:r>
      <w:r w:rsidRPr="00F85AD4">
        <w:rPr>
          <w:rFonts w:ascii="Times New Roman" w:hAnsi="Times New Roman" w:cs="Times New Roman"/>
          <w:sz w:val="24"/>
          <w:szCs w:val="24"/>
        </w:rPr>
        <w:t>hether the law other than the law of the place of celebration can alter the character of the marriage. In Ali v. Ali, the law of a subsequently acquired domicile was held to be relevant in deciding the nature of a marriage at the time of divorce proceedings and in displacing the effect of the lexi loci celebrationi</w:t>
      </w:r>
      <w:r>
        <w:rPr>
          <w:rFonts w:ascii="Times New Roman" w:hAnsi="Times New Roman" w:cs="Times New Roman"/>
          <w:sz w:val="24"/>
          <w:szCs w:val="24"/>
        </w:rPr>
        <w:t xml:space="preserve">s rule. In </w:t>
      </w:r>
      <w:r w:rsidRPr="00F85AD4">
        <w:rPr>
          <w:rFonts w:ascii="Times New Roman" w:hAnsi="Times New Roman" w:cs="Times New Roman"/>
          <w:b/>
          <w:sz w:val="24"/>
          <w:szCs w:val="24"/>
        </w:rPr>
        <w:t>Parkasho v. Singh</w:t>
      </w:r>
      <w:r w:rsidR="004A4C6B">
        <w:rPr>
          <w:rStyle w:val="FootnoteReference"/>
          <w:rFonts w:ascii="Times New Roman" w:hAnsi="Times New Roman" w:cs="Times New Roman"/>
          <w:b/>
          <w:sz w:val="24"/>
          <w:szCs w:val="24"/>
        </w:rPr>
        <w:footnoteReference w:id="8"/>
      </w:r>
      <w:r>
        <w:rPr>
          <w:rFonts w:ascii="Times New Roman" w:hAnsi="Times New Roman" w:cs="Times New Roman"/>
          <w:sz w:val="24"/>
          <w:szCs w:val="24"/>
        </w:rPr>
        <w:t>,</w:t>
      </w:r>
      <w:r w:rsidRPr="00F85AD4">
        <w:rPr>
          <w:rFonts w:ascii="Times New Roman" w:hAnsi="Times New Roman" w:cs="Times New Roman"/>
          <w:sz w:val="24"/>
          <w:szCs w:val="24"/>
        </w:rPr>
        <w:t xml:space="preserve"> a change in the loci celebrationis which could not have been in the contemplation of the parties at the time of the marriage was held to affect the na</w:t>
      </w:r>
      <w:r>
        <w:rPr>
          <w:rFonts w:ascii="Times New Roman" w:hAnsi="Times New Roman" w:cs="Times New Roman"/>
          <w:sz w:val="24"/>
          <w:szCs w:val="24"/>
        </w:rPr>
        <w:t xml:space="preserve">ture of that marriage. </w:t>
      </w:r>
    </w:p>
    <w:p w:rsidR="00F85AD4" w:rsidRDefault="00F85AD4" w:rsidP="00F85AD4">
      <w:pPr>
        <w:pStyle w:val="ListParagraph"/>
        <w:ind w:left="717"/>
        <w:rPr>
          <w:rFonts w:ascii="Times New Roman" w:hAnsi="Times New Roman" w:cs="Times New Roman"/>
          <w:sz w:val="24"/>
          <w:szCs w:val="24"/>
        </w:rPr>
      </w:pPr>
    </w:p>
    <w:p w:rsidR="00F85AD4" w:rsidRPr="00F85AD4" w:rsidRDefault="00F85AD4" w:rsidP="00F85A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I</w:t>
      </w:r>
      <w:r w:rsidRPr="00F85AD4">
        <w:rPr>
          <w:rFonts w:ascii="Times New Roman" w:hAnsi="Times New Roman" w:cs="Times New Roman"/>
          <w:sz w:val="24"/>
          <w:szCs w:val="24"/>
        </w:rPr>
        <w:t xml:space="preserve">s an intention on the part of the husband alone sufficient to alter the character of a union by change of domicile? Or must the change be the result of some bilateral decision before a change will be recognised as effected? It is implicit in his Lordship's reasoning in Ali v. Ali that intention on the part of the husband alone to acquire a domicile may be sufficient to alter the nature of the union. </w:t>
      </w:r>
    </w:p>
    <w:p w:rsidR="003350A4" w:rsidRDefault="00587C6F" w:rsidP="00DF097F">
      <w:pPr>
        <w:ind w:left="0"/>
        <w:rPr>
          <w:rFonts w:ascii="Times New Roman" w:hAnsi="Times New Roman" w:cs="Times New Roman"/>
          <w:sz w:val="24"/>
          <w:szCs w:val="24"/>
        </w:rPr>
      </w:pPr>
      <w:r>
        <w:rPr>
          <w:rFonts w:ascii="Times New Roman" w:hAnsi="Times New Roman" w:cs="Times New Roman"/>
          <w:sz w:val="24"/>
          <w:szCs w:val="24"/>
        </w:rPr>
        <w:lastRenderedPageBreak/>
        <w:t xml:space="preserve">In conclusion, this decision is contrary to the </w:t>
      </w:r>
      <w:r w:rsidR="00D8209B">
        <w:rPr>
          <w:rFonts w:ascii="Times New Roman" w:hAnsi="Times New Roman" w:cs="Times New Roman"/>
          <w:sz w:val="24"/>
          <w:szCs w:val="24"/>
        </w:rPr>
        <w:t>su</w:t>
      </w:r>
      <w:r>
        <w:rPr>
          <w:rFonts w:ascii="Times New Roman" w:hAnsi="Times New Roman" w:cs="Times New Roman"/>
          <w:sz w:val="24"/>
          <w:szCs w:val="24"/>
        </w:rPr>
        <w:t xml:space="preserve">pposed principle that the lex loci celebrationis immutably determines the nature of marriage. There instances where a character of a marriage may be changed from polygamous to monogamous. These are cases of mutation or conversion and it happens mostly by a change in domicile as seen in the case of </w:t>
      </w:r>
      <w:r w:rsidRPr="00587C6F">
        <w:rPr>
          <w:rFonts w:ascii="Times New Roman" w:hAnsi="Times New Roman" w:cs="Times New Roman"/>
          <w:b/>
          <w:sz w:val="24"/>
          <w:szCs w:val="24"/>
        </w:rPr>
        <w:t>Ali v. Ali</w:t>
      </w:r>
      <w:r>
        <w:rPr>
          <w:rFonts w:ascii="Times New Roman" w:hAnsi="Times New Roman" w:cs="Times New Roman"/>
          <w:sz w:val="24"/>
          <w:szCs w:val="24"/>
        </w:rPr>
        <w:t xml:space="preserve"> above </w:t>
      </w:r>
      <w:r w:rsidR="00D8209B">
        <w:rPr>
          <w:rFonts w:ascii="Times New Roman" w:hAnsi="Times New Roman" w:cs="Times New Roman"/>
          <w:sz w:val="24"/>
          <w:szCs w:val="24"/>
        </w:rPr>
        <w:t xml:space="preserve">or by change as regards circumstances surrounding the marriage as in the case of </w:t>
      </w:r>
      <w:r w:rsidR="00D8209B" w:rsidRPr="00D8209B">
        <w:rPr>
          <w:rFonts w:ascii="Times New Roman" w:hAnsi="Times New Roman" w:cs="Times New Roman"/>
          <w:b/>
          <w:sz w:val="24"/>
          <w:szCs w:val="24"/>
        </w:rPr>
        <w:t>Cheni v. Cheni</w:t>
      </w:r>
      <w:r w:rsidR="00D8209B">
        <w:rPr>
          <w:rFonts w:ascii="Times New Roman" w:hAnsi="Times New Roman" w:cs="Times New Roman"/>
          <w:sz w:val="24"/>
          <w:szCs w:val="24"/>
        </w:rPr>
        <w:t xml:space="preserve">, </w:t>
      </w:r>
      <w:r w:rsidR="00D8209B" w:rsidRPr="00D8209B">
        <w:rPr>
          <w:rFonts w:ascii="Times New Roman" w:hAnsi="Times New Roman" w:cs="Times New Roman"/>
          <w:sz w:val="24"/>
          <w:szCs w:val="24"/>
        </w:rPr>
        <w:t>In that case the spouses were married according to Jewish rites in Egypt where they were domiciled. By Egyptian law the religious law of the parties determined the validity of the marriage. By Jewish law if there was failure of offspring of the union within a certain period the husband could take another wife without formally divorcing the first. On the other hand, the birth of a child within that period made the marriage monogamous for all purposes. A child was in fact born to the parties who later came to England where they were domiciled at the date of procee</w:t>
      </w:r>
      <w:r w:rsidR="003350A4">
        <w:rPr>
          <w:rFonts w:ascii="Times New Roman" w:hAnsi="Times New Roman" w:cs="Times New Roman"/>
          <w:sz w:val="24"/>
          <w:szCs w:val="24"/>
        </w:rPr>
        <w:t>dings by the wife for a decree o</w:t>
      </w:r>
      <w:r w:rsidR="00D8209B" w:rsidRPr="00D8209B">
        <w:rPr>
          <w:rFonts w:ascii="Times New Roman" w:hAnsi="Times New Roman" w:cs="Times New Roman"/>
          <w:sz w:val="24"/>
          <w:szCs w:val="24"/>
        </w:rPr>
        <w:t>f nullity on the ground</w:t>
      </w:r>
      <w:r w:rsidR="003350A4">
        <w:rPr>
          <w:rFonts w:ascii="Times New Roman" w:hAnsi="Times New Roman" w:cs="Times New Roman"/>
          <w:sz w:val="24"/>
          <w:szCs w:val="24"/>
        </w:rPr>
        <w:t xml:space="preserve"> </w:t>
      </w:r>
      <w:r w:rsidR="003350A4" w:rsidRPr="003350A4">
        <w:rPr>
          <w:rFonts w:ascii="Times New Roman" w:hAnsi="Times New Roman" w:cs="Times New Roman"/>
          <w:sz w:val="24"/>
          <w:szCs w:val="24"/>
        </w:rPr>
        <w:t xml:space="preserve">of consanguinity. The husband argued that </w:t>
      </w:r>
      <w:r w:rsidR="003350A4">
        <w:rPr>
          <w:rFonts w:ascii="Times New Roman" w:hAnsi="Times New Roman" w:cs="Times New Roman"/>
          <w:sz w:val="24"/>
          <w:szCs w:val="24"/>
        </w:rPr>
        <w:t>the English Court had no juris</w:t>
      </w:r>
      <w:r w:rsidR="003350A4" w:rsidRPr="003350A4">
        <w:rPr>
          <w:rFonts w:ascii="Times New Roman" w:hAnsi="Times New Roman" w:cs="Times New Roman"/>
          <w:sz w:val="24"/>
          <w:szCs w:val="24"/>
        </w:rPr>
        <w:t>diction to grant the decree because the marriage was potentially polygamous. The Court (Sir Jocelyn Simon, P.) held that the birth of the child rendered the marriage monogamous and that the proper time to consider the character of the marriage was the date of proceedings. The learned judge cited two instances in which a potentially polygamo</w:t>
      </w:r>
      <w:r w:rsidR="003350A4">
        <w:rPr>
          <w:rFonts w:ascii="Times New Roman" w:hAnsi="Times New Roman" w:cs="Times New Roman"/>
          <w:sz w:val="24"/>
          <w:szCs w:val="24"/>
        </w:rPr>
        <w:t>us union may assume the charac</w:t>
      </w:r>
      <w:r w:rsidR="003350A4" w:rsidRPr="003350A4">
        <w:rPr>
          <w:rFonts w:ascii="Times New Roman" w:hAnsi="Times New Roman" w:cs="Times New Roman"/>
          <w:sz w:val="24"/>
          <w:szCs w:val="24"/>
        </w:rPr>
        <w:t>teristi</w:t>
      </w:r>
      <w:r w:rsidR="003350A4">
        <w:rPr>
          <w:rFonts w:ascii="Times New Roman" w:hAnsi="Times New Roman" w:cs="Times New Roman"/>
          <w:sz w:val="24"/>
          <w:szCs w:val="24"/>
        </w:rPr>
        <w:t xml:space="preserve">cs of a monogamous marriage: </w:t>
      </w:r>
    </w:p>
    <w:p w:rsidR="003350A4" w:rsidRDefault="003350A4" w:rsidP="00DF097F">
      <w:pPr>
        <w:ind w:left="0"/>
        <w:rPr>
          <w:rFonts w:ascii="Times New Roman" w:hAnsi="Times New Roman" w:cs="Times New Roman"/>
          <w:sz w:val="24"/>
          <w:szCs w:val="24"/>
        </w:rPr>
      </w:pPr>
      <w:r w:rsidRPr="003350A4">
        <w:rPr>
          <w:rFonts w:ascii="Times New Roman" w:hAnsi="Times New Roman" w:cs="Times New Roman"/>
          <w:sz w:val="24"/>
          <w:szCs w:val="24"/>
        </w:rPr>
        <w:t xml:space="preserve">Two spouses may contract a valid polygamous union and subsequently join a monogamous sect, or go through a second ceremony in a place where monogamy is the law. </w:t>
      </w:r>
    </w:p>
    <w:p w:rsidR="00926B8D" w:rsidRPr="00F85AD4" w:rsidRDefault="003350A4" w:rsidP="00DF097F">
      <w:pPr>
        <w:ind w:left="0"/>
        <w:rPr>
          <w:rFonts w:ascii="Times New Roman" w:hAnsi="Times New Roman" w:cs="Times New Roman"/>
          <w:sz w:val="24"/>
          <w:szCs w:val="24"/>
        </w:rPr>
      </w:pPr>
      <w:r w:rsidRPr="003350A4">
        <w:rPr>
          <w:rFonts w:ascii="Times New Roman" w:hAnsi="Times New Roman" w:cs="Times New Roman"/>
          <w:sz w:val="24"/>
          <w:szCs w:val="24"/>
        </w:rPr>
        <w:t>Again, a marriage in its inception potentially polyg</w:t>
      </w:r>
      <w:r w:rsidR="003956F9">
        <w:rPr>
          <w:rFonts w:ascii="Times New Roman" w:hAnsi="Times New Roman" w:cs="Times New Roman"/>
          <w:sz w:val="24"/>
          <w:szCs w:val="24"/>
        </w:rPr>
        <w:t xml:space="preserve">amous </w:t>
      </w:r>
      <w:r w:rsidRPr="003350A4">
        <w:rPr>
          <w:rFonts w:ascii="Times New Roman" w:hAnsi="Times New Roman" w:cs="Times New Roman"/>
          <w:sz w:val="24"/>
          <w:szCs w:val="24"/>
        </w:rPr>
        <w:t>may be rendered monogamous for all time by legislative a</w:t>
      </w:r>
      <w:r>
        <w:rPr>
          <w:rFonts w:ascii="Times New Roman" w:hAnsi="Times New Roman" w:cs="Times New Roman"/>
          <w:sz w:val="24"/>
          <w:szCs w:val="24"/>
        </w:rPr>
        <w:t>ction proscribing polygamy.</w:t>
      </w:r>
    </w:p>
    <w:sectPr w:rsidR="00926B8D" w:rsidRPr="00F85AD4" w:rsidSect="0078534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17F" w:rsidRDefault="0056417F" w:rsidP="00926B8D">
      <w:pPr>
        <w:spacing w:after="0" w:line="240" w:lineRule="auto"/>
      </w:pPr>
      <w:r>
        <w:separator/>
      </w:r>
    </w:p>
  </w:endnote>
  <w:endnote w:type="continuationSeparator" w:id="1">
    <w:p w:rsidR="0056417F" w:rsidRDefault="0056417F" w:rsidP="00926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17F" w:rsidRDefault="0056417F" w:rsidP="00926B8D">
      <w:pPr>
        <w:spacing w:after="0" w:line="240" w:lineRule="auto"/>
      </w:pPr>
      <w:r>
        <w:separator/>
      </w:r>
    </w:p>
  </w:footnote>
  <w:footnote w:type="continuationSeparator" w:id="1">
    <w:p w:rsidR="0056417F" w:rsidRDefault="0056417F" w:rsidP="00926B8D">
      <w:pPr>
        <w:spacing w:after="0" w:line="240" w:lineRule="auto"/>
      </w:pPr>
      <w:r>
        <w:continuationSeparator/>
      </w:r>
    </w:p>
  </w:footnote>
  <w:footnote w:id="2">
    <w:p w:rsidR="00926B8D" w:rsidRDefault="00926B8D">
      <w:pPr>
        <w:pStyle w:val="FootnoteText"/>
      </w:pPr>
      <w:r>
        <w:rPr>
          <w:rStyle w:val="FootnoteReference"/>
        </w:rPr>
        <w:footnoteRef/>
      </w:r>
      <w:r>
        <w:t xml:space="preserve"> (1968) P.314</w:t>
      </w:r>
    </w:p>
  </w:footnote>
  <w:footnote w:id="3">
    <w:p w:rsidR="0094233A" w:rsidRDefault="0094233A">
      <w:pPr>
        <w:pStyle w:val="FootnoteText"/>
      </w:pPr>
      <w:r>
        <w:rPr>
          <w:rStyle w:val="FootnoteReference"/>
        </w:rPr>
        <w:footnoteRef/>
      </w:r>
      <w:r>
        <w:t xml:space="preserve"> Per lord Penzance in Wilson v Wilson (1872) L.R P&amp;D 435 at 442</w:t>
      </w:r>
    </w:p>
  </w:footnote>
  <w:footnote w:id="4">
    <w:p w:rsidR="0094233A" w:rsidRDefault="0094233A">
      <w:pPr>
        <w:pStyle w:val="FootnoteText"/>
      </w:pPr>
      <w:r>
        <w:rPr>
          <w:rStyle w:val="FootnoteReference"/>
        </w:rPr>
        <w:footnoteRef/>
      </w:r>
      <w:r>
        <w:t xml:space="preserve"> (1969) 1A.C.53</w:t>
      </w:r>
    </w:p>
  </w:footnote>
  <w:footnote w:id="5">
    <w:p w:rsidR="004A4C6B" w:rsidRDefault="004A4C6B">
      <w:pPr>
        <w:pStyle w:val="FootnoteText"/>
      </w:pPr>
      <w:r>
        <w:rPr>
          <w:rStyle w:val="FootnoteReference"/>
        </w:rPr>
        <w:footnoteRef/>
      </w:r>
      <w:r>
        <w:t xml:space="preserve"> (1866) L.R 1P&amp;D130</w:t>
      </w:r>
    </w:p>
  </w:footnote>
  <w:footnote w:id="6">
    <w:p w:rsidR="004A4C6B" w:rsidRDefault="004A4C6B">
      <w:pPr>
        <w:pStyle w:val="FootnoteText"/>
      </w:pPr>
      <w:r>
        <w:rPr>
          <w:rStyle w:val="FootnoteReference"/>
        </w:rPr>
        <w:footnoteRef/>
      </w:r>
      <w:r>
        <w:t xml:space="preserve"> (1965) P.85; (1962) 3 All ER 873</w:t>
      </w:r>
    </w:p>
  </w:footnote>
  <w:footnote w:id="7">
    <w:p w:rsidR="004A4C6B" w:rsidRDefault="004A4C6B">
      <w:pPr>
        <w:pStyle w:val="FootnoteText"/>
      </w:pPr>
      <w:r>
        <w:rPr>
          <w:rStyle w:val="FootnoteReference"/>
        </w:rPr>
        <w:footnoteRef/>
      </w:r>
      <w:r>
        <w:t xml:space="preserve"> (1966) 1 All ER 664</w:t>
      </w:r>
    </w:p>
  </w:footnote>
  <w:footnote w:id="8">
    <w:p w:rsidR="004A4C6B" w:rsidRDefault="004A4C6B">
      <w:pPr>
        <w:pStyle w:val="FootnoteText"/>
      </w:pPr>
      <w:r>
        <w:rPr>
          <w:rStyle w:val="FootnoteReference"/>
        </w:rPr>
        <w:footnoteRef/>
      </w:r>
      <w:r>
        <w:t xml:space="preserve"> (1967) 2 W.L.R 946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43D71"/>
    <w:multiLevelType w:val="hybridMultilevel"/>
    <w:tmpl w:val="C1568664"/>
    <w:lvl w:ilvl="0" w:tplc="48F08550">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
    <w:nsid w:val="40596949"/>
    <w:multiLevelType w:val="hybridMultilevel"/>
    <w:tmpl w:val="94DE8A46"/>
    <w:lvl w:ilvl="0" w:tplc="44DAF3C0">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097F"/>
    <w:rsid w:val="0014210F"/>
    <w:rsid w:val="002503D0"/>
    <w:rsid w:val="002A6185"/>
    <w:rsid w:val="002B1562"/>
    <w:rsid w:val="002B52BC"/>
    <w:rsid w:val="003350A4"/>
    <w:rsid w:val="003956F9"/>
    <w:rsid w:val="003E723A"/>
    <w:rsid w:val="0042270F"/>
    <w:rsid w:val="004A4C6B"/>
    <w:rsid w:val="004B46D8"/>
    <w:rsid w:val="0056417F"/>
    <w:rsid w:val="00587C6F"/>
    <w:rsid w:val="006053D0"/>
    <w:rsid w:val="0078534E"/>
    <w:rsid w:val="00792ADB"/>
    <w:rsid w:val="008C0119"/>
    <w:rsid w:val="00926B8D"/>
    <w:rsid w:val="0094233A"/>
    <w:rsid w:val="009D065D"/>
    <w:rsid w:val="00A67F17"/>
    <w:rsid w:val="00B01592"/>
    <w:rsid w:val="00B96D74"/>
    <w:rsid w:val="00BE1415"/>
    <w:rsid w:val="00CD6EA9"/>
    <w:rsid w:val="00D23F69"/>
    <w:rsid w:val="00D8209B"/>
    <w:rsid w:val="00DF097F"/>
    <w:rsid w:val="00DF2675"/>
    <w:rsid w:val="00E474D7"/>
    <w:rsid w:val="00E6476F"/>
    <w:rsid w:val="00ED6CE7"/>
    <w:rsid w:val="00EE2F55"/>
    <w:rsid w:val="00F04E19"/>
    <w:rsid w:val="00F3581D"/>
    <w:rsid w:val="00F85000"/>
    <w:rsid w:val="00F85A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97F"/>
    <w:pPr>
      <w:ind w:left="720"/>
      <w:contextualSpacing/>
    </w:pPr>
  </w:style>
  <w:style w:type="paragraph" w:styleId="FootnoteText">
    <w:name w:val="footnote text"/>
    <w:basedOn w:val="Normal"/>
    <w:link w:val="FootnoteTextChar"/>
    <w:uiPriority w:val="99"/>
    <w:semiHidden/>
    <w:unhideWhenUsed/>
    <w:rsid w:val="00926B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6B8D"/>
    <w:rPr>
      <w:sz w:val="20"/>
      <w:szCs w:val="20"/>
    </w:rPr>
  </w:style>
  <w:style w:type="character" w:styleId="FootnoteReference">
    <w:name w:val="footnote reference"/>
    <w:basedOn w:val="DefaultParagraphFont"/>
    <w:uiPriority w:val="99"/>
    <w:semiHidden/>
    <w:unhideWhenUsed/>
    <w:rsid w:val="00926B8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A51EE-FB5A-4A39-8E9A-0EDACF5D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FAKOREDE OPEYEMI</dc:creator>
  <cp:keywords/>
  <dc:description/>
  <cp:lastModifiedBy>FAKOREDE OPEYEMI</cp:lastModifiedBy>
  <cp:revision>19</cp:revision>
  <dcterms:created xsi:type="dcterms:W3CDTF">2020-05-06T08:29:00Z</dcterms:created>
  <dcterms:modified xsi:type="dcterms:W3CDTF">2020-05-07T16:21:00Z</dcterms:modified>
</cp:coreProperties>
</file>