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15" w:rsidRDefault="00320590" w:rsidP="00320590">
      <w:pPr>
        <w:jc w:val="both"/>
        <w:rPr>
          <w:rFonts w:cs="Times New Roman"/>
          <w:sz w:val="24"/>
          <w:szCs w:val="24"/>
        </w:rPr>
      </w:pPr>
      <w:r>
        <w:rPr>
          <w:rFonts w:cs="Times New Roman"/>
          <w:sz w:val="24"/>
          <w:szCs w:val="24"/>
        </w:rPr>
        <w:t>NAME: OBIEZE ONYENEME IFEYINWA</w:t>
      </w:r>
    </w:p>
    <w:p w:rsidR="00320590" w:rsidRDefault="00320590" w:rsidP="00320590">
      <w:pPr>
        <w:jc w:val="both"/>
        <w:rPr>
          <w:rFonts w:cs="Times New Roman"/>
          <w:sz w:val="24"/>
          <w:szCs w:val="24"/>
        </w:rPr>
      </w:pPr>
      <w:r>
        <w:rPr>
          <w:rFonts w:cs="Times New Roman"/>
          <w:sz w:val="24"/>
          <w:szCs w:val="24"/>
        </w:rPr>
        <w:t>MATRIC NO: 18/LAW01/160</w:t>
      </w:r>
    </w:p>
    <w:p w:rsidR="00320590" w:rsidRDefault="00320590" w:rsidP="00320590">
      <w:pPr>
        <w:jc w:val="both"/>
        <w:rPr>
          <w:rFonts w:cs="Times New Roman"/>
          <w:sz w:val="24"/>
          <w:szCs w:val="24"/>
        </w:rPr>
      </w:pPr>
      <w:r>
        <w:rPr>
          <w:rFonts w:cs="Times New Roman"/>
          <w:sz w:val="24"/>
          <w:szCs w:val="24"/>
        </w:rPr>
        <w:t>COURSE CODE: LPB202</w:t>
      </w:r>
    </w:p>
    <w:p w:rsidR="00320590" w:rsidRDefault="00320590" w:rsidP="00320590">
      <w:pPr>
        <w:jc w:val="both"/>
        <w:rPr>
          <w:rFonts w:cs="Times New Roman"/>
          <w:sz w:val="24"/>
          <w:szCs w:val="24"/>
        </w:rPr>
      </w:pPr>
      <w:r>
        <w:rPr>
          <w:rFonts w:cs="Times New Roman"/>
          <w:sz w:val="24"/>
          <w:szCs w:val="24"/>
        </w:rPr>
        <w:t>COURSE TITLE: LAW OF CONTRACT II</w:t>
      </w:r>
    </w:p>
    <w:p w:rsidR="00320590" w:rsidRDefault="00320590" w:rsidP="00320590">
      <w:pPr>
        <w:jc w:val="both"/>
        <w:rPr>
          <w:rFonts w:cs="Times New Roman"/>
          <w:sz w:val="24"/>
          <w:szCs w:val="24"/>
        </w:rPr>
      </w:pPr>
    </w:p>
    <w:p w:rsidR="00320590" w:rsidRDefault="00320590" w:rsidP="00320590">
      <w:pPr>
        <w:jc w:val="both"/>
        <w:rPr>
          <w:rFonts w:cs="Times New Roman"/>
          <w:sz w:val="24"/>
          <w:szCs w:val="24"/>
        </w:rPr>
      </w:pPr>
      <w:r>
        <w:rPr>
          <w:rFonts w:cs="Times New Roman"/>
          <w:sz w:val="24"/>
          <w:szCs w:val="24"/>
        </w:rPr>
        <w:t>QUESTION</w:t>
      </w:r>
    </w:p>
    <w:p w:rsidR="00320590" w:rsidRDefault="00320590" w:rsidP="00320590">
      <w:pPr>
        <w:jc w:val="both"/>
        <w:rPr>
          <w:rFonts w:ascii="Times New Roman" w:hAnsi="Times New Roman" w:cs="Times New Roman"/>
          <w:sz w:val="24"/>
          <w:szCs w:val="24"/>
        </w:rPr>
      </w:pPr>
      <w:r>
        <w:rPr>
          <w:rFonts w:ascii="Times New Roman" w:hAnsi="Times New Roman" w:cs="Times New Roman"/>
          <w:sz w:val="24"/>
          <w:szCs w:val="24"/>
        </w:rPr>
        <w:t>A breach of contract is committed when a party without lawful exercise fails or refuses to perform what is due of him under the contract or performs defectively or incapacitates himself from performing.</w:t>
      </w:r>
    </w:p>
    <w:p w:rsidR="00320590" w:rsidRDefault="00320590" w:rsidP="00320590">
      <w:pPr>
        <w:jc w:val="both"/>
        <w:rPr>
          <w:rFonts w:ascii="Times New Roman" w:hAnsi="Times New Roman" w:cs="Times New Roman"/>
          <w:sz w:val="24"/>
          <w:szCs w:val="24"/>
        </w:rPr>
      </w:pPr>
      <w:r>
        <w:rPr>
          <w:rFonts w:ascii="Times New Roman" w:hAnsi="Times New Roman" w:cs="Times New Roman"/>
          <w:sz w:val="24"/>
          <w:szCs w:val="24"/>
        </w:rPr>
        <w:t>Discuss the following:</w:t>
      </w:r>
    </w:p>
    <w:p w:rsidR="00320590" w:rsidRDefault="00320590" w:rsidP="003205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Breach of contract</w:t>
      </w:r>
    </w:p>
    <w:p w:rsidR="00320590" w:rsidRDefault="00320590" w:rsidP="003205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What are the remedies available for a breach of </w:t>
      </w:r>
      <w:r w:rsidR="00603382">
        <w:rPr>
          <w:rFonts w:ascii="Times New Roman" w:hAnsi="Times New Roman" w:cs="Times New Roman"/>
          <w:sz w:val="24"/>
          <w:szCs w:val="24"/>
        </w:rPr>
        <w:t>contract?</w:t>
      </w: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A549A3" w:rsidP="00A549A3">
      <w:pPr>
        <w:jc w:val="both"/>
        <w:rPr>
          <w:rFonts w:ascii="Times New Roman" w:hAnsi="Times New Roman" w:cs="Times New Roman"/>
          <w:sz w:val="24"/>
          <w:szCs w:val="24"/>
        </w:rPr>
      </w:pPr>
    </w:p>
    <w:p w:rsidR="00A549A3" w:rsidRDefault="00312AB8" w:rsidP="005E342B">
      <w:pPr>
        <w:spacing w:line="480" w:lineRule="auto"/>
        <w:jc w:val="both"/>
        <w:rPr>
          <w:rFonts w:ascii="Times New Roman" w:hAnsi="Times New Roman" w:cs="Times New Roman"/>
          <w:sz w:val="24"/>
          <w:szCs w:val="24"/>
        </w:rPr>
      </w:pPr>
      <w:r>
        <w:rPr>
          <w:rStyle w:val="FootnoteReference"/>
          <w:rFonts w:ascii="Times New Roman" w:hAnsi="Times New Roman" w:cs="Times New Roman"/>
          <w:sz w:val="24"/>
          <w:szCs w:val="24"/>
        </w:rPr>
        <w:lastRenderedPageBreak/>
        <w:footnoteReference w:id="1"/>
      </w:r>
      <w:r w:rsidR="00A549A3">
        <w:rPr>
          <w:rFonts w:ascii="Times New Roman" w:hAnsi="Times New Roman" w:cs="Times New Roman"/>
          <w:sz w:val="24"/>
          <w:szCs w:val="24"/>
        </w:rPr>
        <w:t xml:space="preserve">When any party to a contract, </w:t>
      </w:r>
      <w:r>
        <w:rPr>
          <w:rFonts w:ascii="Times New Roman" w:hAnsi="Times New Roman" w:cs="Times New Roman"/>
          <w:sz w:val="24"/>
          <w:szCs w:val="24"/>
        </w:rPr>
        <w:t>whether oral or written, fails to perform any of the contract’s terms, they may be found in breach of contract. While there are many ways to breach a contract, common failures include failure to deliver goods or services, failure to fully complete the job, failure to pay on time, or providing inferior goods and services. In other wo</w:t>
      </w:r>
      <w:r w:rsidR="002C1BB9">
        <w:rPr>
          <w:rFonts w:ascii="Times New Roman" w:hAnsi="Times New Roman" w:cs="Times New Roman"/>
          <w:sz w:val="24"/>
          <w:szCs w:val="24"/>
        </w:rPr>
        <w:t xml:space="preserve">rds, a breach of contract is when one party performs defectively, different from the agreement, or not at all (actual breach), or indicates in advance that they will not be performing as agreed (anticipatory breach). </w:t>
      </w:r>
      <w:r w:rsidR="0057095D">
        <w:rPr>
          <w:rFonts w:ascii="Times New Roman" w:hAnsi="Times New Roman" w:cs="Times New Roman"/>
          <w:sz w:val="24"/>
          <w:szCs w:val="24"/>
        </w:rPr>
        <w:t>Breach may also give the injured party the right to “terminate” the contract.</w:t>
      </w:r>
    </w:p>
    <w:p w:rsidR="004B5544" w:rsidRDefault="004B5544"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four main types of contract breaches:</w:t>
      </w:r>
    </w:p>
    <w:p w:rsidR="004B5544" w:rsidRDefault="004B5544" w:rsidP="004B55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Minor Breach: </w:t>
      </w:r>
      <w:r>
        <w:rPr>
          <w:rFonts w:ascii="Times New Roman" w:hAnsi="Times New Roman" w:cs="Times New Roman"/>
          <w:sz w:val="24"/>
          <w:szCs w:val="24"/>
        </w:rPr>
        <w:t xml:space="preserve">a minor breach occurs when a party fails to perform a part of the contract but does not violate the whole contract. To be considered a minor breach, the infraction must be so nonessential that all parties involved can otherwise fulfill any remaining obligations. A minor breach is sometimes referred to as impartial breach.  </w:t>
      </w:r>
    </w:p>
    <w:p w:rsidR="00664CF3" w:rsidRDefault="00664CF3" w:rsidP="004B55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Fundamental Breach:</w:t>
      </w:r>
      <w:r>
        <w:rPr>
          <w:rFonts w:ascii="Times New Roman" w:hAnsi="Times New Roman" w:cs="Times New Roman"/>
          <w:sz w:val="24"/>
          <w:szCs w:val="24"/>
        </w:rPr>
        <w:t xml:space="preserve"> a fundamental breach is essentially the same as a material breach, in that, the </w:t>
      </w:r>
      <w:r w:rsidR="00603382">
        <w:rPr>
          <w:rFonts w:ascii="Times New Roman" w:hAnsi="Times New Roman" w:cs="Times New Roman"/>
          <w:sz w:val="24"/>
          <w:szCs w:val="24"/>
        </w:rPr>
        <w:t>non-breaching</w:t>
      </w:r>
      <w:r>
        <w:rPr>
          <w:rFonts w:ascii="Times New Roman" w:hAnsi="Times New Roman" w:cs="Times New Roman"/>
          <w:sz w:val="24"/>
          <w:szCs w:val="24"/>
        </w:rPr>
        <w:t xml:space="preserve"> party is allowed to terminate the contract and seek damages in the event of a breach.</w:t>
      </w:r>
    </w:p>
    <w:p w:rsidR="00664CF3" w:rsidRPr="004B5544" w:rsidRDefault="00664CF3" w:rsidP="004B55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Material Breach:</w:t>
      </w:r>
      <w:r>
        <w:rPr>
          <w:rFonts w:ascii="Times New Roman" w:hAnsi="Times New Roman" w:cs="Times New Roman"/>
          <w:sz w:val="24"/>
          <w:szCs w:val="24"/>
        </w:rPr>
        <w:t xml:space="preserve"> </w:t>
      </w:r>
      <w:r w:rsidR="00CD35EE">
        <w:rPr>
          <w:rFonts w:ascii="Times New Roman" w:hAnsi="Times New Roman" w:cs="Times New Roman"/>
          <w:sz w:val="24"/>
          <w:szCs w:val="24"/>
        </w:rPr>
        <w:t>a material breach of contract is a breach that is so substantial, it seriously impairs the contract as a whole, additionally</w:t>
      </w:r>
      <w:r w:rsidR="00BC2519">
        <w:rPr>
          <w:rFonts w:ascii="Times New Roman" w:hAnsi="Times New Roman" w:cs="Times New Roman"/>
          <w:sz w:val="24"/>
          <w:szCs w:val="24"/>
        </w:rPr>
        <w:t xml:space="preserve">, the </w:t>
      </w:r>
      <w:r w:rsidR="00CD35EE">
        <w:rPr>
          <w:rFonts w:ascii="Times New Roman" w:hAnsi="Times New Roman" w:cs="Times New Roman"/>
          <w:sz w:val="24"/>
          <w:szCs w:val="24"/>
        </w:rPr>
        <w:t>of the agreement must be rendered completely defeated by the breach.</w:t>
      </w:r>
      <w:r>
        <w:rPr>
          <w:rFonts w:ascii="Times New Roman" w:hAnsi="Times New Roman" w:cs="Times New Roman"/>
          <w:sz w:val="24"/>
          <w:szCs w:val="24"/>
        </w:rPr>
        <w:t xml:space="preserve"> </w:t>
      </w:r>
      <w:r w:rsidR="00BC2519">
        <w:rPr>
          <w:rFonts w:ascii="Times New Roman" w:hAnsi="Times New Roman" w:cs="Times New Roman"/>
          <w:sz w:val="24"/>
          <w:szCs w:val="24"/>
        </w:rPr>
        <w:t>This is sometimes referred to as a total breach. It allows for the performing party to disregard their contractual obligations, and to go to court in order to collect damages from the breaching party.</w:t>
      </w:r>
    </w:p>
    <w:p w:rsidR="0057095D" w:rsidRPr="00386CFB" w:rsidRDefault="0057095D" w:rsidP="00386CFB">
      <w:pPr>
        <w:pStyle w:val="ListParagraph"/>
        <w:numPr>
          <w:ilvl w:val="0"/>
          <w:numId w:val="2"/>
        </w:numPr>
        <w:spacing w:line="480" w:lineRule="auto"/>
        <w:jc w:val="both"/>
        <w:rPr>
          <w:rFonts w:ascii="Times New Roman" w:hAnsi="Times New Roman" w:cs="Times New Roman"/>
          <w:b/>
          <w:sz w:val="24"/>
          <w:szCs w:val="24"/>
        </w:rPr>
      </w:pPr>
      <w:r w:rsidRPr="00386CFB">
        <w:rPr>
          <w:rFonts w:ascii="Times New Roman" w:hAnsi="Times New Roman" w:cs="Times New Roman"/>
          <w:b/>
          <w:sz w:val="24"/>
          <w:szCs w:val="24"/>
        </w:rPr>
        <w:t>Anticipatory Breach</w:t>
      </w:r>
    </w:p>
    <w:p w:rsidR="009B511C" w:rsidRDefault="0057095D"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 anticipatory breach occurs when, before perform</w:t>
      </w:r>
      <w:r w:rsidR="00B02355">
        <w:rPr>
          <w:rFonts w:ascii="Times New Roman" w:hAnsi="Times New Roman" w:cs="Times New Roman"/>
          <w:sz w:val="24"/>
          <w:szCs w:val="24"/>
        </w:rPr>
        <w:t>ance is due, a party either reno</w:t>
      </w:r>
      <w:r>
        <w:rPr>
          <w:rFonts w:ascii="Times New Roman" w:hAnsi="Times New Roman" w:cs="Times New Roman"/>
          <w:sz w:val="24"/>
          <w:szCs w:val="24"/>
        </w:rPr>
        <w:t>unces the contract or disables himself from performing it.</w:t>
      </w:r>
      <w:r w:rsidR="00B02355">
        <w:rPr>
          <w:rFonts w:ascii="Times New Roman" w:hAnsi="Times New Roman" w:cs="Times New Roman"/>
          <w:sz w:val="24"/>
          <w:szCs w:val="24"/>
        </w:rPr>
        <w:t xml:space="preserve"> </w:t>
      </w:r>
      <w:r w:rsidR="00B02355">
        <w:rPr>
          <w:rFonts w:ascii="Times New Roman" w:hAnsi="Times New Roman" w:cs="Times New Roman"/>
          <w:b/>
          <w:sz w:val="24"/>
          <w:szCs w:val="24"/>
        </w:rPr>
        <w:t xml:space="preserve">Renunciation </w:t>
      </w:r>
      <w:r w:rsidR="00B02355">
        <w:rPr>
          <w:rFonts w:ascii="Times New Roman" w:hAnsi="Times New Roman" w:cs="Times New Roman"/>
          <w:sz w:val="24"/>
          <w:szCs w:val="24"/>
        </w:rPr>
        <w:t xml:space="preserve">requires a clear and absolute refusal to perform; this need not be expressed but can take the form of conduct indicating that the party is unwilling even though he is unable to perform. A renunciation may even be inferred from silence where it is a “speaking silence”, </w:t>
      </w:r>
      <w:r w:rsidR="009B511C">
        <w:rPr>
          <w:rFonts w:ascii="Times New Roman" w:hAnsi="Times New Roman" w:cs="Times New Roman"/>
          <w:sz w:val="24"/>
          <w:szCs w:val="24"/>
        </w:rPr>
        <w:t>e.g.</w:t>
      </w:r>
      <w:r w:rsidR="00B02355">
        <w:rPr>
          <w:rFonts w:ascii="Times New Roman" w:hAnsi="Times New Roman" w:cs="Times New Roman"/>
          <w:sz w:val="24"/>
          <w:szCs w:val="24"/>
        </w:rPr>
        <w:t xml:space="preserve"> the previous conduct of a party in refusing to perform another related contract may give rise to the inference that he will refuse to perform the contract in question.</w:t>
      </w:r>
      <w:r w:rsidR="009B511C">
        <w:rPr>
          <w:rFonts w:ascii="Times New Roman" w:hAnsi="Times New Roman" w:cs="Times New Roman"/>
          <w:sz w:val="24"/>
          <w:szCs w:val="24"/>
        </w:rPr>
        <w:t xml:space="preserve"> The true meaning and effect of an anticipatory breach were stated by Lord Esher, M.R., in </w:t>
      </w:r>
      <w:r w:rsidR="009B511C">
        <w:rPr>
          <w:rFonts w:ascii="Times New Roman" w:hAnsi="Times New Roman" w:cs="Times New Roman"/>
          <w:b/>
          <w:i/>
          <w:sz w:val="24"/>
          <w:szCs w:val="24"/>
        </w:rPr>
        <w:t>Johnston v Milling</w:t>
      </w:r>
      <w:r w:rsidR="00C74693">
        <w:rPr>
          <w:rStyle w:val="FootnoteReference"/>
          <w:rFonts w:ascii="Times New Roman" w:hAnsi="Times New Roman" w:cs="Times New Roman"/>
          <w:b/>
          <w:i/>
          <w:sz w:val="24"/>
          <w:szCs w:val="24"/>
        </w:rPr>
        <w:footnoteReference w:id="2"/>
      </w:r>
      <w:r w:rsidR="009B511C">
        <w:rPr>
          <w:rFonts w:ascii="Times New Roman" w:hAnsi="Times New Roman" w:cs="Times New Roman"/>
          <w:b/>
          <w:i/>
          <w:sz w:val="24"/>
          <w:szCs w:val="24"/>
        </w:rPr>
        <w:t xml:space="preserve"> </w:t>
      </w:r>
      <w:r w:rsidR="009B511C">
        <w:rPr>
          <w:rFonts w:ascii="Times New Roman" w:hAnsi="Times New Roman" w:cs="Times New Roman"/>
          <w:sz w:val="24"/>
          <w:szCs w:val="24"/>
        </w:rPr>
        <w:t>thus:</w:t>
      </w:r>
    </w:p>
    <w:p w:rsidR="00171653" w:rsidRDefault="009B511C"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t>When one party assumes to renounce the contract, that is, by anticipation refuses to perform it, he thereby, so far as he is concerned, declares his intention then and there to rescind the contract.</w:t>
      </w:r>
      <w:r w:rsidR="003A348F">
        <w:rPr>
          <w:rFonts w:ascii="Times New Roman" w:hAnsi="Times New Roman" w:cs="Times New Roman"/>
          <w:sz w:val="24"/>
          <w:szCs w:val="24"/>
        </w:rPr>
        <w:t xml:space="preserve"> Such a renunciation does not of course amount to a rescission of contract because one party to it himself cannot himself rescind it, but by unlawfully making such a renunciation of the contract he entitles the other party to bring an action in respect of</w:t>
      </w:r>
      <w:r w:rsidR="00171653">
        <w:rPr>
          <w:rFonts w:ascii="Times New Roman" w:hAnsi="Times New Roman" w:cs="Times New Roman"/>
          <w:sz w:val="24"/>
          <w:szCs w:val="24"/>
        </w:rPr>
        <w:t xml:space="preserve"> such wrongful rescission.</w:t>
      </w:r>
    </w:p>
    <w:p w:rsidR="001724BF" w:rsidRDefault="00171653"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i/>
          <w:sz w:val="24"/>
          <w:szCs w:val="24"/>
        </w:rPr>
        <w:t>C.D Ajufo v Trans-Arab Ltd</w:t>
      </w:r>
      <w:r w:rsidR="00C74693">
        <w:rPr>
          <w:rStyle w:val="FootnoteReference"/>
          <w:rFonts w:ascii="Times New Roman" w:hAnsi="Times New Roman" w:cs="Times New Roman"/>
          <w:b/>
          <w:i/>
          <w:sz w:val="24"/>
          <w:szCs w:val="24"/>
        </w:rPr>
        <w:footnoteReference w:id="3"/>
      </w:r>
      <w:r>
        <w:rPr>
          <w:rFonts w:ascii="Times New Roman" w:hAnsi="Times New Roman" w:cs="Times New Roman"/>
          <w:b/>
          <w:i/>
          <w:sz w:val="24"/>
          <w:szCs w:val="24"/>
        </w:rPr>
        <w:t>,</w:t>
      </w:r>
      <w:r>
        <w:rPr>
          <w:rFonts w:ascii="Times New Roman" w:hAnsi="Times New Roman" w:cs="Times New Roman"/>
          <w:sz w:val="24"/>
          <w:szCs w:val="24"/>
        </w:rPr>
        <w:t xml:space="preserve"> a case that did not involve anticipatory breach as such, </w:t>
      </w:r>
      <w:r>
        <w:rPr>
          <w:rFonts w:ascii="Times New Roman" w:hAnsi="Times New Roman" w:cs="Times New Roman"/>
          <w:b/>
          <w:sz w:val="24"/>
          <w:szCs w:val="24"/>
        </w:rPr>
        <w:t xml:space="preserve">Somolu, C.J, </w:t>
      </w:r>
      <w:r w:rsidR="001724BF">
        <w:rPr>
          <w:rFonts w:ascii="Times New Roman" w:hAnsi="Times New Roman" w:cs="Times New Roman"/>
          <w:sz w:val="24"/>
          <w:szCs w:val="24"/>
        </w:rPr>
        <w:t>framed the principles of law applicable in cases of breach of contract thus:</w:t>
      </w:r>
    </w:p>
    <w:p w:rsidR="00410F29" w:rsidRDefault="001724BF"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t>It is an indisputable point of law, that the breach of an agreement entitles the other party who is damnified by it to bring an action on it. Such breach may take place before the time fixed for performance or of completing the performance of the contract has arrived.</w:t>
      </w:r>
      <w:r w:rsidR="006213CB">
        <w:rPr>
          <w:rFonts w:ascii="Times New Roman" w:hAnsi="Times New Roman" w:cs="Times New Roman"/>
          <w:sz w:val="24"/>
          <w:szCs w:val="24"/>
        </w:rPr>
        <w:t xml:space="preserve"> Thus,</w:t>
      </w:r>
      <w:r w:rsidR="00D06F72">
        <w:rPr>
          <w:rFonts w:ascii="Times New Roman" w:hAnsi="Times New Roman" w:cs="Times New Roman"/>
          <w:sz w:val="24"/>
          <w:szCs w:val="24"/>
        </w:rPr>
        <w:t xml:space="preserve"> where a promisor </w:t>
      </w:r>
      <w:r w:rsidR="006213CB">
        <w:rPr>
          <w:rFonts w:ascii="Times New Roman" w:hAnsi="Times New Roman" w:cs="Times New Roman"/>
          <w:sz w:val="24"/>
          <w:szCs w:val="24"/>
        </w:rPr>
        <w:t xml:space="preserve">by his own act or default disables himself from performing his promise, the other party is entitled to treat the contract </w:t>
      </w:r>
      <w:r w:rsidR="00D06F72">
        <w:rPr>
          <w:rFonts w:ascii="Times New Roman" w:hAnsi="Times New Roman" w:cs="Times New Roman"/>
          <w:sz w:val="24"/>
          <w:szCs w:val="24"/>
        </w:rPr>
        <w:t xml:space="preserve">as at end and sue him for damages for a breach of it without </w:t>
      </w:r>
      <w:r w:rsidR="00D06F72">
        <w:rPr>
          <w:rFonts w:ascii="Times New Roman" w:hAnsi="Times New Roman" w:cs="Times New Roman"/>
          <w:sz w:val="24"/>
          <w:szCs w:val="24"/>
        </w:rPr>
        <w:lastRenderedPageBreak/>
        <w:t>waiting for the time fixed for performa</w:t>
      </w:r>
      <w:r w:rsidR="00BB76BC">
        <w:rPr>
          <w:rFonts w:ascii="Times New Roman" w:hAnsi="Times New Roman" w:cs="Times New Roman"/>
          <w:sz w:val="24"/>
          <w:szCs w:val="24"/>
        </w:rPr>
        <w:t>n</w:t>
      </w:r>
      <w:r w:rsidR="00D06F72">
        <w:rPr>
          <w:rFonts w:ascii="Times New Roman" w:hAnsi="Times New Roman" w:cs="Times New Roman"/>
          <w:sz w:val="24"/>
          <w:szCs w:val="24"/>
        </w:rPr>
        <w:t>ce, and without further performing his part of the contract.</w:t>
      </w:r>
      <w:r w:rsidR="006213CB">
        <w:rPr>
          <w:rFonts w:ascii="Times New Roman" w:hAnsi="Times New Roman" w:cs="Times New Roman"/>
          <w:sz w:val="24"/>
          <w:szCs w:val="24"/>
        </w:rPr>
        <w:t xml:space="preserve"> </w:t>
      </w:r>
    </w:p>
    <w:p w:rsidR="00CA19F5" w:rsidRPr="002D3819" w:rsidRDefault="00CA19F5"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Such repudiation may be express or implied, or be in words or by conduct. Thus, in </w:t>
      </w:r>
      <w:r>
        <w:rPr>
          <w:rFonts w:ascii="Times New Roman" w:hAnsi="Times New Roman" w:cs="Times New Roman"/>
          <w:b/>
          <w:i/>
          <w:sz w:val="24"/>
          <w:szCs w:val="24"/>
        </w:rPr>
        <w:t>Hochester v De la Tour</w:t>
      </w:r>
      <w:r w:rsidR="00DE52CF">
        <w:rPr>
          <w:rStyle w:val="FootnoteReference"/>
          <w:rFonts w:ascii="Times New Roman" w:hAnsi="Times New Roman" w:cs="Times New Roman"/>
          <w:b/>
          <w:i/>
          <w:sz w:val="24"/>
          <w:szCs w:val="24"/>
        </w:rPr>
        <w:footnoteReference w:id="4"/>
      </w:r>
      <w:r>
        <w:rPr>
          <w:rFonts w:ascii="Times New Roman" w:hAnsi="Times New Roman" w:cs="Times New Roman"/>
          <w:b/>
          <w:i/>
          <w:sz w:val="24"/>
          <w:szCs w:val="24"/>
        </w:rPr>
        <w:t xml:space="preserve">, </w:t>
      </w:r>
      <w:r w:rsidR="002D3819">
        <w:rPr>
          <w:rFonts w:ascii="Times New Roman" w:hAnsi="Times New Roman" w:cs="Times New Roman"/>
          <w:sz w:val="24"/>
          <w:szCs w:val="24"/>
        </w:rPr>
        <w:t>the defendant actually wrote to the plaintiff stating that he was no longer going to perform his part of a contract under which he agreed to employ the plaintiff as a courier during a foreign tour commencing at a future date. The plaintiff immediately sued for a breach of contract, even though the date of the performance was still nearly a month ahead and he succeeded.</w:t>
      </w:r>
    </w:p>
    <w:p w:rsidR="00A76606" w:rsidRDefault="00F55995"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facts of </w:t>
      </w:r>
      <w:r>
        <w:rPr>
          <w:rFonts w:ascii="Times New Roman" w:hAnsi="Times New Roman" w:cs="Times New Roman"/>
          <w:b/>
          <w:i/>
          <w:sz w:val="24"/>
          <w:szCs w:val="24"/>
        </w:rPr>
        <w:t>Nigerian Supplies Manufacturing Co. Ltd v Nigerian Broadcasting Corporation</w:t>
      </w:r>
      <w:r w:rsidR="00EC3C71">
        <w:rPr>
          <w:rStyle w:val="FootnoteReference"/>
          <w:rFonts w:ascii="Times New Roman" w:hAnsi="Times New Roman" w:cs="Times New Roman"/>
          <w:b/>
          <w:i/>
          <w:sz w:val="24"/>
          <w:szCs w:val="24"/>
        </w:rPr>
        <w:footnoteReference w:id="5"/>
      </w:r>
      <w:r>
        <w:rPr>
          <w:rFonts w:ascii="Times New Roman" w:hAnsi="Times New Roman" w:cs="Times New Roman"/>
          <w:b/>
          <w:i/>
          <w:sz w:val="24"/>
          <w:szCs w:val="24"/>
        </w:rPr>
        <w:t xml:space="preserve"> </w:t>
      </w:r>
      <w:r>
        <w:rPr>
          <w:rFonts w:ascii="Times New Roman" w:hAnsi="Times New Roman" w:cs="Times New Roman"/>
          <w:sz w:val="24"/>
          <w:szCs w:val="24"/>
        </w:rPr>
        <w:t>represents a classic case of express anticipatory breach. There, the plaintiff company leased certain property to the defendant corporation for a term of five years from January 15, 1962, at a rent 26 pounds a year, with an option to renew for further term of five years, which was to be exercised by notice in writing two years before the determination of the original term. On October 30, 1964, the director general of the corporation wrote to the company exercising the option, but on December</w:t>
      </w:r>
      <w:r w:rsidR="00EC3C71">
        <w:rPr>
          <w:rFonts w:ascii="Times New Roman" w:hAnsi="Times New Roman" w:cs="Times New Roman"/>
          <w:sz w:val="24"/>
          <w:szCs w:val="24"/>
        </w:rPr>
        <w:t xml:space="preserve"> 31</w:t>
      </w:r>
      <w:r>
        <w:rPr>
          <w:rFonts w:ascii="Times New Roman" w:hAnsi="Times New Roman" w:cs="Times New Roman"/>
          <w:sz w:val="24"/>
          <w:szCs w:val="24"/>
        </w:rPr>
        <w:t>, 1964, he wrote again saying that the board of governors had refused to ratify the exercise of the option. In response,</w:t>
      </w:r>
      <w:r w:rsidR="00CF10A6">
        <w:rPr>
          <w:rFonts w:ascii="Times New Roman" w:hAnsi="Times New Roman" w:cs="Times New Roman"/>
          <w:sz w:val="24"/>
          <w:szCs w:val="24"/>
        </w:rPr>
        <w:t xml:space="preserve"> the plaintiffs issued a writ claiming a declaration that the option to renew had been validly exercised and an in</w:t>
      </w:r>
      <w:r w:rsidR="00A76606">
        <w:rPr>
          <w:rFonts w:ascii="Times New Roman" w:hAnsi="Times New Roman" w:cs="Times New Roman"/>
          <w:sz w:val="24"/>
          <w:szCs w:val="24"/>
        </w:rPr>
        <w:t>junction to restrain the corporation from committing a breach of contract. The trial court held that the option had been validly exercised, but for other reasons he refused to grant the injunction sought.</w:t>
      </w:r>
    </w:p>
    <w:p w:rsidR="00EC3C71" w:rsidRDefault="00A76606"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plaintiffs appealed to the Supreme Court. Upholding the appeal and granting the declaration and injunction sought by the plaintiffs, the court held that the action of the defendants by their </w:t>
      </w:r>
      <w:r>
        <w:rPr>
          <w:rFonts w:ascii="Times New Roman" w:hAnsi="Times New Roman" w:cs="Times New Roman"/>
          <w:sz w:val="24"/>
          <w:szCs w:val="24"/>
        </w:rPr>
        <w:lastRenderedPageBreak/>
        <w:t>letter of December 31, 1964, after the contract had been concluded</w:t>
      </w:r>
      <w:r w:rsidR="00A174A1">
        <w:rPr>
          <w:rFonts w:ascii="Times New Roman" w:hAnsi="Times New Roman" w:cs="Times New Roman"/>
          <w:sz w:val="24"/>
          <w:szCs w:val="24"/>
        </w:rPr>
        <w:t>, was an attempted repudiation or renunciation of the contract.</w:t>
      </w:r>
      <w:r>
        <w:rPr>
          <w:rFonts w:ascii="Times New Roman" w:hAnsi="Times New Roman" w:cs="Times New Roman"/>
          <w:sz w:val="24"/>
          <w:szCs w:val="24"/>
        </w:rPr>
        <w:t xml:space="preserve"> </w:t>
      </w:r>
    </w:p>
    <w:p w:rsidR="0060682E" w:rsidRDefault="00EC3C71"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the defendant’s refusal to perform is the result of a </w:t>
      </w:r>
      <w:r w:rsidR="00CF5DFD">
        <w:rPr>
          <w:rFonts w:ascii="Times New Roman" w:hAnsi="Times New Roman" w:cs="Times New Roman"/>
          <w:sz w:val="24"/>
          <w:szCs w:val="24"/>
        </w:rPr>
        <w:t>bonafide though erroneous, belief</w:t>
      </w:r>
      <w:r>
        <w:rPr>
          <w:rFonts w:ascii="Times New Roman" w:hAnsi="Times New Roman" w:cs="Times New Roman"/>
          <w:sz w:val="24"/>
          <w:szCs w:val="24"/>
        </w:rPr>
        <w:t xml:space="preserve"> </w:t>
      </w:r>
      <w:r w:rsidR="00CF5DFD">
        <w:rPr>
          <w:rFonts w:ascii="Times New Roman" w:hAnsi="Times New Roman" w:cs="Times New Roman"/>
          <w:sz w:val="24"/>
          <w:szCs w:val="24"/>
        </w:rPr>
        <w:t xml:space="preserve">that he was justified to withhold performance, his act may not amount to repudiation. In </w:t>
      </w:r>
      <w:r w:rsidR="00CF5DFD">
        <w:rPr>
          <w:rFonts w:ascii="Times New Roman" w:hAnsi="Times New Roman" w:cs="Times New Roman"/>
          <w:b/>
          <w:i/>
          <w:sz w:val="24"/>
          <w:szCs w:val="24"/>
        </w:rPr>
        <w:t xml:space="preserve">Merry Steel </w:t>
      </w:r>
      <w:r w:rsidR="00C97F7E">
        <w:rPr>
          <w:rFonts w:ascii="Times New Roman" w:hAnsi="Times New Roman" w:cs="Times New Roman"/>
          <w:b/>
          <w:i/>
          <w:sz w:val="24"/>
          <w:szCs w:val="24"/>
        </w:rPr>
        <w:t>and Iron Co. v Naylor Benzon &amp; Co</w:t>
      </w:r>
      <w:r w:rsidR="00C97F7E">
        <w:rPr>
          <w:rStyle w:val="FootnoteReference"/>
          <w:rFonts w:ascii="Times New Roman" w:hAnsi="Times New Roman" w:cs="Times New Roman"/>
          <w:b/>
          <w:i/>
          <w:sz w:val="24"/>
          <w:szCs w:val="24"/>
        </w:rPr>
        <w:footnoteReference w:id="6"/>
      </w:r>
      <w:r w:rsidR="00C97F7E">
        <w:rPr>
          <w:rFonts w:ascii="Times New Roman" w:hAnsi="Times New Roman" w:cs="Times New Roman"/>
          <w:b/>
          <w:i/>
          <w:sz w:val="24"/>
          <w:szCs w:val="24"/>
        </w:rPr>
        <w:t xml:space="preserve">, </w:t>
      </w:r>
      <w:r w:rsidR="00C97F7E">
        <w:rPr>
          <w:rFonts w:ascii="Times New Roman" w:hAnsi="Times New Roman" w:cs="Times New Roman"/>
          <w:sz w:val="24"/>
          <w:szCs w:val="24"/>
        </w:rPr>
        <w:t xml:space="preserve">the respondents sold 5,000 tons of iron steel to the appellants to be delivered </w:t>
      </w:r>
      <w:r w:rsidR="0092161D">
        <w:rPr>
          <w:rFonts w:ascii="Times New Roman" w:hAnsi="Times New Roman" w:cs="Times New Roman"/>
          <w:sz w:val="24"/>
          <w:szCs w:val="24"/>
        </w:rPr>
        <w:t xml:space="preserve">at the rate of 1,000 tons a month. In the first month, only half rate was delivered. Though some more were delivered the second month, winding up proceedings were commenced against the respondents. Due </w:t>
      </w:r>
      <w:r w:rsidR="002A01DA">
        <w:rPr>
          <w:rFonts w:ascii="Times New Roman" w:hAnsi="Times New Roman" w:cs="Times New Roman"/>
          <w:sz w:val="24"/>
          <w:szCs w:val="24"/>
        </w:rPr>
        <w:t>to wrong le</w:t>
      </w:r>
      <w:r w:rsidR="0092161D">
        <w:rPr>
          <w:rFonts w:ascii="Times New Roman" w:hAnsi="Times New Roman" w:cs="Times New Roman"/>
          <w:sz w:val="24"/>
          <w:szCs w:val="24"/>
        </w:rPr>
        <w:t xml:space="preserve">gal advice, the appellants refused to pay for the deliveries pending the final determination of the winding-up proceedings. </w:t>
      </w:r>
      <w:r w:rsidR="003967FE">
        <w:rPr>
          <w:rFonts w:ascii="Times New Roman" w:hAnsi="Times New Roman" w:cs="Times New Roman"/>
          <w:sz w:val="24"/>
          <w:szCs w:val="24"/>
        </w:rPr>
        <w:t>The respondents now alleged that th</w:t>
      </w:r>
      <w:r w:rsidR="00C7438F">
        <w:rPr>
          <w:rFonts w:ascii="Times New Roman" w:hAnsi="Times New Roman" w:cs="Times New Roman"/>
          <w:sz w:val="24"/>
          <w:szCs w:val="24"/>
        </w:rPr>
        <w:t>e refusal to pay constituted a</w:t>
      </w:r>
      <w:r w:rsidR="003967FE">
        <w:rPr>
          <w:rFonts w:ascii="Times New Roman" w:hAnsi="Times New Roman" w:cs="Times New Roman"/>
          <w:sz w:val="24"/>
          <w:szCs w:val="24"/>
        </w:rPr>
        <w:t xml:space="preserve"> repudiation of the contract by the appellants discharging them (the respondents) from all</w:t>
      </w:r>
      <w:r w:rsidR="00C7438F">
        <w:rPr>
          <w:rFonts w:ascii="Times New Roman" w:hAnsi="Times New Roman" w:cs="Times New Roman"/>
          <w:sz w:val="24"/>
          <w:szCs w:val="24"/>
        </w:rPr>
        <w:t xml:space="preserve"> further obligations under the contract. It was held that it was impossible to ascribe to the conduct of the buyers, the character of repudiation of a contract.</w:t>
      </w:r>
      <w:r w:rsidR="00123050">
        <w:rPr>
          <w:rFonts w:ascii="Times New Roman" w:hAnsi="Times New Roman" w:cs="Times New Roman"/>
          <w:sz w:val="24"/>
          <w:szCs w:val="24"/>
        </w:rPr>
        <w:t xml:space="preserve"> In reply to the seller’s argument that payment for every delivery was a condition precedent to the obligation to make subsequent deliveries, the court held that the mere failure for the buyer to pay for one delivery could not of itself go to the root of the contract.</w:t>
      </w:r>
    </w:p>
    <w:p w:rsidR="001A28DE" w:rsidRDefault="001A28DE" w:rsidP="005E342B">
      <w:pPr>
        <w:spacing w:line="480" w:lineRule="auto"/>
        <w:jc w:val="both"/>
        <w:rPr>
          <w:rFonts w:ascii="Times New Roman" w:hAnsi="Times New Roman" w:cs="Times New Roman"/>
          <w:b/>
          <w:sz w:val="24"/>
          <w:szCs w:val="24"/>
        </w:rPr>
      </w:pPr>
      <w:r>
        <w:rPr>
          <w:rFonts w:ascii="Times New Roman" w:hAnsi="Times New Roman" w:cs="Times New Roman"/>
          <w:b/>
          <w:sz w:val="24"/>
          <w:szCs w:val="24"/>
        </w:rPr>
        <w:t>Fundamental Breach.</w:t>
      </w:r>
    </w:p>
    <w:p w:rsidR="001A28DE" w:rsidRDefault="00386CFB" w:rsidP="005E34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Apart from repudiation, the </w:t>
      </w:r>
      <w:r w:rsidR="00594DE1">
        <w:rPr>
          <w:rFonts w:ascii="Times New Roman" w:hAnsi="Times New Roman" w:cs="Times New Roman"/>
          <w:sz w:val="24"/>
          <w:szCs w:val="24"/>
        </w:rPr>
        <w:t xml:space="preserve">another circumstance in which a party </w:t>
      </w:r>
      <w:r>
        <w:rPr>
          <w:rFonts w:ascii="Times New Roman" w:hAnsi="Times New Roman" w:cs="Times New Roman"/>
          <w:sz w:val="24"/>
          <w:szCs w:val="24"/>
        </w:rPr>
        <w:t xml:space="preserve">is entitled to treat himself as discharged from further obligations in the </w:t>
      </w:r>
      <w:r w:rsidR="00594DE1">
        <w:rPr>
          <w:rFonts w:ascii="Times New Roman" w:hAnsi="Times New Roman" w:cs="Times New Roman"/>
          <w:sz w:val="24"/>
          <w:szCs w:val="24"/>
        </w:rPr>
        <w:t>contract is where the co-contractor, without expressly or implicitly repudiating the contract, commits a fundamental breach of contract.</w:t>
      </w:r>
      <w:r w:rsidR="00B05427">
        <w:rPr>
          <w:rFonts w:ascii="Times New Roman" w:hAnsi="Times New Roman" w:cs="Times New Roman"/>
          <w:sz w:val="24"/>
          <w:szCs w:val="24"/>
        </w:rPr>
        <w:t xml:space="preserve"> It must be a breach which goes to the root of the contract; a breach which has the effect of depriving the injured party of achieving the main purpose for which he contracted. One of the problem about </w:t>
      </w:r>
      <w:r w:rsidR="00B05427">
        <w:rPr>
          <w:rFonts w:ascii="Times New Roman" w:hAnsi="Times New Roman" w:cs="Times New Roman"/>
          <w:sz w:val="24"/>
          <w:szCs w:val="24"/>
        </w:rPr>
        <w:lastRenderedPageBreak/>
        <w:t>basing the discharge of a contract solely on the breach of a fundamental term is the rather subjective nature of that concept. It is said that for a term to be fundamental, the parties must have regarded it as being of major importance when the contract is made</w:t>
      </w:r>
      <w:r w:rsidR="00B05427">
        <w:rPr>
          <w:rStyle w:val="FootnoteReference"/>
          <w:rFonts w:ascii="Times New Roman" w:hAnsi="Times New Roman" w:cs="Times New Roman"/>
          <w:sz w:val="24"/>
          <w:szCs w:val="24"/>
        </w:rPr>
        <w:footnoteReference w:id="7"/>
      </w:r>
      <w:r w:rsidR="00B05427">
        <w:rPr>
          <w:rFonts w:ascii="Times New Roman" w:hAnsi="Times New Roman" w:cs="Times New Roman"/>
          <w:sz w:val="24"/>
          <w:szCs w:val="24"/>
        </w:rPr>
        <w:t>.</w:t>
      </w:r>
      <w:r w:rsidR="00CC0D41">
        <w:rPr>
          <w:rFonts w:ascii="Times New Roman" w:hAnsi="Times New Roman" w:cs="Times New Roman"/>
          <w:sz w:val="24"/>
          <w:szCs w:val="24"/>
        </w:rPr>
        <w:t xml:space="preserve"> It should be noted that a breach of condition also entitles the injured party to repudiate the contract. This, it will be recalled, is the main distinguishing feature between the consequences of a breach of condition and a breach of warranty. Thus, as far as the right to terminate for breach is concerned, there is no distinction between a breach of a fundamental term and a breach of a condition</w:t>
      </w:r>
      <w:r w:rsidR="004C0D86">
        <w:rPr>
          <w:rFonts w:ascii="Times New Roman" w:hAnsi="Times New Roman" w:cs="Times New Roman"/>
          <w:sz w:val="24"/>
          <w:szCs w:val="24"/>
        </w:rPr>
        <w:t>.</w:t>
      </w:r>
      <w:r w:rsidR="00266767">
        <w:rPr>
          <w:rFonts w:ascii="Times New Roman" w:hAnsi="Times New Roman" w:cs="Times New Roman"/>
          <w:sz w:val="24"/>
          <w:szCs w:val="24"/>
        </w:rPr>
        <w:t xml:space="preserve"> </w:t>
      </w:r>
      <w:r w:rsidR="00727CA1">
        <w:rPr>
          <w:rFonts w:ascii="Times New Roman" w:hAnsi="Times New Roman" w:cs="Times New Roman"/>
          <w:sz w:val="24"/>
          <w:szCs w:val="24"/>
        </w:rPr>
        <w:t xml:space="preserve">However, in situations or circumstances in which </w:t>
      </w:r>
      <w:r w:rsidR="00727CA1">
        <w:rPr>
          <w:rFonts w:ascii="Times New Roman" w:hAnsi="Times New Roman" w:cs="Times New Roman"/>
          <w:b/>
          <w:i/>
          <w:sz w:val="24"/>
          <w:szCs w:val="24"/>
        </w:rPr>
        <w:t xml:space="preserve">section 11© of the sales of goods act 1893 </w:t>
      </w:r>
      <w:r w:rsidR="00727CA1">
        <w:rPr>
          <w:rFonts w:ascii="Times New Roman" w:hAnsi="Times New Roman" w:cs="Times New Roman"/>
          <w:sz w:val="24"/>
          <w:szCs w:val="24"/>
        </w:rPr>
        <w:t>is applicable, a breach of condition will only give rise to claim for damages and the right to repudiate will be lost.</w:t>
      </w:r>
    </w:p>
    <w:p w:rsidR="000839B1" w:rsidRDefault="000839B1" w:rsidP="000839B1">
      <w:pPr>
        <w:spacing w:line="480" w:lineRule="auto"/>
        <w:jc w:val="both"/>
        <w:rPr>
          <w:rFonts w:ascii="Times New Roman" w:hAnsi="Times New Roman" w:cs="Times New Roman"/>
          <w:b/>
          <w:sz w:val="24"/>
          <w:szCs w:val="24"/>
        </w:rPr>
      </w:pPr>
      <w:r>
        <w:rPr>
          <w:rFonts w:ascii="Times New Roman" w:hAnsi="Times New Roman" w:cs="Times New Roman"/>
          <w:b/>
          <w:sz w:val="24"/>
          <w:szCs w:val="24"/>
        </w:rPr>
        <w:t>Actual Breach</w:t>
      </w:r>
    </w:p>
    <w:p w:rsidR="000839B1" w:rsidRDefault="000839B1" w:rsidP="000839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 actual breach is a failure to meet the obligations stated in a contract. Failure or refusal to perform a contractual promise when performance has fallen due is prima facie a breach. This means the failure has already occurred and is not something that is merely anticipated. An illustration of an actual breach of contract is Pearles de Rougemont &amp; Co v Plibrow</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appellant had telephoned a firm of solicitors and asked to make an appointment with a solicitor. He was not informed that the employee wasn’t a solicitor. The appellant was dissatisfied with the quality of the legal services he had received and refused to pay the outstanding fees. The firm sued for their fees. The </w:t>
      </w:r>
      <w:r>
        <w:rPr>
          <w:rFonts w:ascii="Times New Roman" w:hAnsi="Times New Roman" w:cs="Times New Roman"/>
          <w:b/>
          <w:sz w:val="24"/>
          <w:szCs w:val="24"/>
        </w:rPr>
        <w:t xml:space="preserve">Court of Appeal </w:t>
      </w:r>
      <w:r>
        <w:rPr>
          <w:rFonts w:ascii="Times New Roman" w:hAnsi="Times New Roman" w:cs="Times New Roman"/>
          <w:sz w:val="24"/>
          <w:szCs w:val="24"/>
        </w:rPr>
        <w:t xml:space="preserve">accepted that as a matter of fact, the standard of legal services provided had been that of an incompetent solicitor. But it had ruled that there had been a contract not just to provide legal services, but to provide legal services by a solicitor. The firm </w:t>
      </w:r>
      <w:r>
        <w:rPr>
          <w:rFonts w:ascii="Times New Roman" w:hAnsi="Times New Roman" w:cs="Times New Roman"/>
          <w:sz w:val="24"/>
          <w:szCs w:val="24"/>
        </w:rPr>
        <w:lastRenderedPageBreak/>
        <w:t>did not perform that contract at all. No legal services were provided by any solicitor; they therefore had no right to any payment.</w:t>
      </w:r>
    </w:p>
    <w:p w:rsidR="000839B1" w:rsidRDefault="000839B1" w:rsidP="000839B1">
      <w:pPr>
        <w:spacing w:line="480" w:lineRule="auto"/>
        <w:jc w:val="both"/>
        <w:rPr>
          <w:rFonts w:ascii="Times New Roman" w:hAnsi="Times New Roman" w:cs="Times New Roman"/>
          <w:b/>
          <w:sz w:val="24"/>
          <w:szCs w:val="24"/>
        </w:rPr>
      </w:pPr>
      <w:r>
        <w:rPr>
          <w:rFonts w:ascii="Times New Roman" w:hAnsi="Times New Roman" w:cs="Times New Roman"/>
          <w:b/>
          <w:sz w:val="24"/>
          <w:szCs w:val="24"/>
        </w:rPr>
        <w:t>Remedies available for a Breach of Contract</w:t>
      </w:r>
    </w:p>
    <w:p w:rsidR="0047574B" w:rsidRDefault="0047574B" w:rsidP="000839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appropriate compensation or remedy depends upon the circumstances. The non-breaching party will have to demonstrate that the other party failed to perform in order to be entitled to any type of remedy. The remedies available for breach include:</w:t>
      </w:r>
    </w:p>
    <w:p w:rsidR="000839B1" w:rsidRDefault="000839B1" w:rsidP="000839B1">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D6924">
        <w:rPr>
          <w:rFonts w:ascii="Times New Roman" w:hAnsi="Times New Roman" w:cs="Times New Roman"/>
          <w:b/>
          <w:sz w:val="24"/>
          <w:szCs w:val="24"/>
        </w:rPr>
        <w:t>Damages</w:t>
      </w:r>
    </w:p>
    <w:p w:rsidR="00AD6924" w:rsidRDefault="00AD6924" w:rsidP="000839B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B91B4D">
        <w:rPr>
          <w:rFonts w:ascii="Times New Roman" w:hAnsi="Times New Roman" w:cs="Times New Roman"/>
          <w:b/>
          <w:sz w:val="24"/>
          <w:szCs w:val="24"/>
        </w:rPr>
        <w:t>remoteness</w:t>
      </w:r>
      <w:r>
        <w:rPr>
          <w:rFonts w:ascii="Times New Roman" w:hAnsi="Times New Roman" w:cs="Times New Roman"/>
          <w:b/>
          <w:sz w:val="24"/>
          <w:szCs w:val="24"/>
        </w:rPr>
        <w:t xml:space="preserve"> of damage and measure of damages.</w:t>
      </w:r>
    </w:p>
    <w:p w:rsidR="00B91B4D" w:rsidRDefault="00AD6924" w:rsidP="000839B1">
      <w:p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The extent to which a plaintiff is entitled to demand damages for breach of contract was not fully considered by the courts until </w:t>
      </w:r>
      <w:r>
        <w:rPr>
          <w:rFonts w:ascii="Times New Roman" w:hAnsi="Times New Roman" w:cs="Times New Roman"/>
          <w:b/>
          <w:i/>
          <w:sz w:val="24"/>
          <w:szCs w:val="24"/>
        </w:rPr>
        <w:t>Hadley v Baxendale</w:t>
      </w:r>
      <w:r>
        <w:rPr>
          <w:rStyle w:val="FootnoteReference"/>
          <w:rFonts w:ascii="Times New Roman" w:hAnsi="Times New Roman" w:cs="Times New Roman"/>
          <w:b/>
          <w:i/>
          <w:sz w:val="24"/>
          <w:szCs w:val="24"/>
        </w:rPr>
        <w:footnoteReference w:id="9"/>
      </w:r>
      <w:r>
        <w:rPr>
          <w:rFonts w:ascii="Times New Roman" w:hAnsi="Times New Roman" w:cs="Times New Roman"/>
          <w:b/>
          <w:i/>
          <w:sz w:val="24"/>
          <w:szCs w:val="24"/>
        </w:rPr>
        <w:t xml:space="preserve">. </w:t>
      </w:r>
      <w:r>
        <w:rPr>
          <w:rFonts w:ascii="Times New Roman" w:hAnsi="Times New Roman" w:cs="Times New Roman"/>
          <w:sz w:val="24"/>
          <w:szCs w:val="24"/>
        </w:rPr>
        <w:t>The principle laid down in that case has since been repeatedly affirmed. Hadley v Baxendale defined the kind of damage, that is, the appropriate subject of compensation and excluded all other kinds as being too remote.</w:t>
      </w:r>
      <w:r w:rsidR="00B91B4D">
        <w:rPr>
          <w:rFonts w:ascii="Times New Roman" w:hAnsi="Times New Roman" w:cs="Times New Roman"/>
          <w:sz w:val="24"/>
          <w:szCs w:val="24"/>
        </w:rPr>
        <w:t xml:space="preserve"> Historically, it has been treated as clear in principle that what is to be recovered by way of damage is the loss which the plaintiff has suffered and not the profits the defendant has made. In </w:t>
      </w:r>
      <w:r w:rsidR="00B91B4D">
        <w:rPr>
          <w:rFonts w:ascii="Times New Roman" w:hAnsi="Times New Roman" w:cs="Times New Roman"/>
          <w:b/>
          <w:i/>
          <w:sz w:val="24"/>
          <w:szCs w:val="24"/>
        </w:rPr>
        <w:t>Surrey County Council v Bredero homes</w:t>
      </w:r>
      <w:r w:rsidR="00B91B4D">
        <w:rPr>
          <w:rStyle w:val="FootnoteReference"/>
          <w:rFonts w:ascii="Times New Roman" w:hAnsi="Times New Roman" w:cs="Times New Roman"/>
          <w:b/>
          <w:i/>
          <w:sz w:val="24"/>
          <w:szCs w:val="24"/>
        </w:rPr>
        <w:footnoteReference w:id="10"/>
      </w:r>
      <w:r w:rsidR="00B91B4D">
        <w:rPr>
          <w:rFonts w:ascii="Times New Roman" w:hAnsi="Times New Roman" w:cs="Times New Roman"/>
          <w:b/>
          <w:i/>
          <w:sz w:val="24"/>
          <w:szCs w:val="24"/>
        </w:rPr>
        <w:t>:</w:t>
      </w:r>
    </w:p>
    <w:p w:rsidR="00A75A91" w:rsidRDefault="00541F80" w:rsidP="000839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local authority had sold </w:t>
      </w:r>
      <w:r w:rsidR="00B9654E">
        <w:rPr>
          <w:rFonts w:ascii="Times New Roman" w:hAnsi="Times New Roman" w:cs="Times New Roman"/>
          <w:sz w:val="24"/>
          <w:szCs w:val="24"/>
        </w:rPr>
        <w:t xml:space="preserve">surplus land to a developer and obtained a covenant that the developer would develop the land in accordance with an existing planning permission. The sole purpose of the local authority in imposing the covenant was to enable it to share in the planning gain if, as </w:t>
      </w:r>
      <w:r w:rsidR="00603382">
        <w:rPr>
          <w:rFonts w:ascii="Times New Roman" w:hAnsi="Times New Roman" w:cs="Times New Roman"/>
          <w:sz w:val="24"/>
          <w:szCs w:val="24"/>
        </w:rPr>
        <w:t>happened,</w:t>
      </w:r>
      <w:r w:rsidR="00B9654E">
        <w:rPr>
          <w:rFonts w:ascii="Times New Roman" w:hAnsi="Times New Roman" w:cs="Times New Roman"/>
          <w:sz w:val="24"/>
          <w:szCs w:val="24"/>
        </w:rPr>
        <w:t xml:space="preserve"> planning permission was subsequently granted for the erection of a large number of houses. The purpose was that the developer would have to apply and pay for a relaxation of the </w:t>
      </w:r>
      <w:r w:rsidR="00B9654E">
        <w:rPr>
          <w:rFonts w:ascii="Times New Roman" w:hAnsi="Times New Roman" w:cs="Times New Roman"/>
          <w:sz w:val="24"/>
          <w:szCs w:val="24"/>
        </w:rPr>
        <w:lastRenderedPageBreak/>
        <w:t>covenant if it wanted to</w:t>
      </w:r>
      <w:r w:rsidR="00A75A91">
        <w:rPr>
          <w:rFonts w:ascii="Times New Roman" w:hAnsi="Times New Roman" w:cs="Times New Roman"/>
          <w:sz w:val="24"/>
          <w:szCs w:val="24"/>
        </w:rPr>
        <w:t xml:space="preserve"> build more houses. In breach of the covenant, the developer in accordance with the later planning permission, and the local authority brought a claim for damages.</w:t>
      </w:r>
    </w:p>
    <w:p w:rsidR="00A75A91" w:rsidRDefault="00A75A91" w:rsidP="000839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Held: the erection of the larger number of houses in breach had not caused any financial losses to the local authority. The court refused to countenance the possibility of awarding restitutionary damages for breach of contract, giving reasons why such an award should be exceptional. </w:t>
      </w:r>
    </w:p>
    <w:p w:rsidR="00A75A91" w:rsidRDefault="00A75A91" w:rsidP="000839B1">
      <w:pPr>
        <w:spacing w:line="480" w:lineRule="auto"/>
        <w:jc w:val="both"/>
        <w:rPr>
          <w:rFonts w:ascii="Times New Roman" w:hAnsi="Times New Roman" w:cs="Times New Roman"/>
          <w:b/>
          <w:sz w:val="24"/>
          <w:szCs w:val="24"/>
        </w:rPr>
      </w:pPr>
      <w:r>
        <w:rPr>
          <w:rFonts w:ascii="Times New Roman" w:hAnsi="Times New Roman" w:cs="Times New Roman"/>
          <w:b/>
          <w:sz w:val="24"/>
          <w:szCs w:val="24"/>
        </w:rPr>
        <w:t>Specific performance</w:t>
      </w:r>
    </w:p>
    <w:p w:rsidR="00AD6924" w:rsidRDefault="00A75A91" w:rsidP="000839B1">
      <w:p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A decree of specific performance is a decree issued by the courts which constrains a contracting party to do that which he has promised to do. It is a form of relief that is purely equitable in origin and is one of the earliest </w:t>
      </w:r>
      <w:r w:rsidR="00C874C2">
        <w:rPr>
          <w:rFonts w:ascii="Times New Roman" w:hAnsi="Times New Roman" w:cs="Times New Roman"/>
          <w:sz w:val="24"/>
          <w:szCs w:val="24"/>
        </w:rPr>
        <w:t>examples</w:t>
      </w:r>
      <w:r>
        <w:rPr>
          <w:rFonts w:ascii="Times New Roman" w:hAnsi="Times New Roman" w:cs="Times New Roman"/>
          <w:sz w:val="24"/>
          <w:szCs w:val="24"/>
        </w:rPr>
        <w:t xml:space="preserve"> that equity acts </w:t>
      </w:r>
      <w:r>
        <w:rPr>
          <w:rFonts w:ascii="Times New Roman" w:hAnsi="Times New Roman" w:cs="Times New Roman"/>
          <w:b/>
          <w:i/>
          <w:sz w:val="24"/>
          <w:szCs w:val="24"/>
        </w:rPr>
        <w:t xml:space="preserve">in personam. </w:t>
      </w:r>
      <w:r w:rsidR="00C874C2">
        <w:rPr>
          <w:rFonts w:ascii="Times New Roman" w:hAnsi="Times New Roman" w:cs="Times New Roman"/>
          <w:sz w:val="24"/>
          <w:szCs w:val="24"/>
        </w:rPr>
        <w:t>The court gives specific performance instead of damages only when it can by that means do more perfect and complete justice.</w:t>
      </w:r>
      <w:r w:rsidR="00B91B4D">
        <w:rPr>
          <w:rFonts w:ascii="Times New Roman" w:hAnsi="Times New Roman" w:cs="Times New Roman"/>
          <w:b/>
          <w:i/>
          <w:sz w:val="24"/>
          <w:szCs w:val="24"/>
        </w:rPr>
        <w:t xml:space="preserve"> </w:t>
      </w:r>
    </w:p>
    <w:p w:rsidR="003C13D3" w:rsidRDefault="003C13D3" w:rsidP="000839B1">
      <w:pPr>
        <w:spacing w:line="480" w:lineRule="auto"/>
        <w:jc w:val="both"/>
        <w:rPr>
          <w:rFonts w:ascii="Times New Roman" w:hAnsi="Times New Roman" w:cs="Times New Roman"/>
          <w:b/>
          <w:sz w:val="24"/>
          <w:szCs w:val="24"/>
        </w:rPr>
      </w:pPr>
      <w:r>
        <w:rPr>
          <w:rFonts w:ascii="Times New Roman" w:hAnsi="Times New Roman" w:cs="Times New Roman"/>
          <w:b/>
          <w:sz w:val="24"/>
          <w:szCs w:val="24"/>
        </w:rPr>
        <w:t>Specific performance a discretionary remedy</w:t>
      </w:r>
    </w:p>
    <w:p w:rsidR="00C24025" w:rsidRDefault="003C13D3" w:rsidP="000839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exercise of the equitable jurisdiction to grant specific performance is not a matter of right in the person seeking relief, but of discretion in the court. This does not mean that the decision is left to the uncontrolled caprice of the individual judge, but that a decree which would normally be justified by principles governing the subject maybe withheld, if to grant it in the particular circumstances of the case will defeat the end of justice. In </w:t>
      </w:r>
      <w:r>
        <w:rPr>
          <w:rFonts w:ascii="Times New Roman" w:hAnsi="Times New Roman" w:cs="Times New Roman"/>
          <w:b/>
          <w:i/>
          <w:sz w:val="24"/>
          <w:szCs w:val="24"/>
        </w:rPr>
        <w:t>Co-op Insurance Society Ltd v Argyll Stores (holdings) Ltd</w:t>
      </w:r>
      <w:r w:rsidR="007B18A5">
        <w:rPr>
          <w:rStyle w:val="FootnoteReference"/>
          <w:rFonts w:ascii="Times New Roman" w:hAnsi="Times New Roman" w:cs="Times New Roman"/>
          <w:b/>
          <w:i/>
          <w:sz w:val="24"/>
          <w:szCs w:val="24"/>
        </w:rPr>
        <w:footnoteReference w:id="11"/>
      </w:r>
      <w:r>
        <w:rPr>
          <w:rFonts w:ascii="Times New Roman" w:hAnsi="Times New Roman" w:cs="Times New Roman"/>
          <w:b/>
          <w:i/>
          <w:sz w:val="24"/>
          <w:szCs w:val="24"/>
        </w:rPr>
        <w:t xml:space="preserve">, </w:t>
      </w:r>
      <w:r>
        <w:rPr>
          <w:rFonts w:ascii="Times New Roman" w:hAnsi="Times New Roman" w:cs="Times New Roman"/>
          <w:sz w:val="24"/>
          <w:szCs w:val="24"/>
        </w:rPr>
        <w:t xml:space="preserve">the plaintiffs were the developers of a shopping </w:t>
      </w:r>
      <w:r w:rsidR="00603382">
        <w:rPr>
          <w:rFonts w:ascii="Times New Roman" w:hAnsi="Times New Roman" w:cs="Times New Roman"/>
          <w:sz w:val="24"/>
          <w:szCs w:val="24"/>
        </w:rPr>
        <w:t>center</w:t>
      </w:r>
      <w:r>
        <w:rPr>
          <w:rFonts w:ascii="Times New Roman" w:hAnsi="Times New Roman" w:cs="Times New Roman"/>
          <w:sz w:val="24"/>
          <w:szCs w:val="24"/>
        </w:rPr>
        <w:t xml:space="preserve"> and they had secured the defendants, a leading supermarket chain, as tenants of one of the major stores in the </w:t>
      </w:r>
      <w:r w:rsidR="00603382">
        <w:rPr>
          <w:rFonts w:ascii="Times New Roman" w:hAnsi="Times New Roman" w:cs="Times New Roman"/>
          <w:sz w:val="24"/>
          <w:szCs w:val="24"/>
        </w:rPr>
        <w:t>center</w:t>
      </w:r>
      <w:r>
        <w:rPr>
          <w:rFonts w:ascii="Times New Roman" w:hAnsi="Times New Roman" w:cs="Times New Roman"/>
          <w:sz w:val="24"/>
          <w:szCs w:val="24"/>
        </w:rPr>
        <w:t>. In such development, the presence of such a tenant</w:t>
      </w:r>
      <w:r w:rsidR="0047110E">
        <w:rPr>
          <w:rFonts w:ascii="Times New Roman" w:hAnsi="Times New Roman" w:cs="Times New Roman"/>
          <w:sz w:val="24"/>
          <w:szCs w:val="24"/>
        </w:rPr>
        <w:t xml:space="preserve"> is very important to other tenants who </w:t>
      </w:r>
      <w:r w:rsidR="0047110E">
        <w:rPr>
          <w:rFonts w:ascii="Times New Roman" w:hAnsi="Times New Roman" w:cs="Times New Roman"/>
          <w:sz w:val="24"/>
          <w:szCs w:val="24"/>
        </w:rPr>
        <w:lastRenderedPageBreak/>
        <w:t xml:space="preserve">look to the supermarket as a magnet for shoppers. The defendants had not only taken a </w:t>
      </w:r>
      <w:r w:rsidR="00603382">
        <w:rPr>
          <w:rFonts w:ascii="Times New Roman" w:hAnsi="Times New Roman" w:cs="Times New Roman"/>
          <w:sz w:val="24"/>
          <w:szCs w:val="24"/>
        </w:rPr>
        <w:t>35-year</w:t>
      </w:r>
      <w:r w:rsidR="0047110E">
        <w:rPr>
          <w:rFonts w:ascii="Times New Roman" w:hAnsi="Times New Roman" w:cs="Times New Roman"/>
          <w:sz w:val="24"/>
          <w:szCs w:val="24"/>
        </w:rPr>
        <w:t xml:space="preserve"> lease but had expressly covenanted that they would operate the leased land as a supermarket. After 15 years they decided that the supermarket was no longer viable and left without notice. This was a clear breach of contract and in principle the plaintiffs were entitled to damages</w:t>
      </w:r>
      <w:r w:rsidR="00C24025">
        <w:rPr>
          <w:rFonts w:ascii="Times New Roman" w:hAnsi="Times New Roman" w:cs="Times New Roman"/>
          <w:sz w:val="24"/>
          <w:szCs w:val="24"/>
        </w:rPr>
        <w:t xml:space="preserve"> which reflected the impact on the whole development of the defendant’s departure but the calculation of these damages will necessarily be a difficult exercise involving peering into an uncertain future. The plaintiffs chose instead to sue for specific performance and were successful before the Court of Appeal.</w:t>
      </w:r>
      <w:bookmarkStart w:id="0" w:name="_GoBack"/>
      <w:bookmarkEnd w:id="0"/>
    </w:p>
    <w:p w:rsidR="003C13D3" w:rsidRDefault="0047110E" w:rsidP="000839B1">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353F4">
        <w:rPr>
          <w:rFonts w:ascii="Times New Roman" w:hAnsi="Times New Roman" w:cs="Times New Roman"/>
          <w:b/>
          <w:sz w:val="24"/>
          <w:szCs w:val="24"/>
        </w:rPr>
        <w:t xml:space="preserve">Injunction </w:t>
      </w:r>
    </w:p>
    <w:p w:rsidR="002353F4" w:rsidRDefault="002353F4" w:rsidP="000839B1">
      <w:pPr>
        <w:spacing w:line="480" w:lineRule="auto"/>
        <w:jc w:val="both"/>
        <w:rPr>
          <w:rFonts w:ascii="Times New Roman" w:hAnsi="Times New Roman" w:cs="Times New Roman"/>
          <w:sz w:val="24"/>
          <w:szCs w:val="24"/>
        </w:rPr>
      </w:pPr>
      <w:r>
        <w:rPr>
          <w:rFonts w:ascii="Times New Roman" w:hAnsi="Times New Roman" w:cs="Times New Roman"/>
          <w:sz w:val="24"/>
          <w:szCs w:val="24"/>
        </w:rPr>
        <w:t>An injunction is either prohibitory or mandatory. So far as concerns the law of contract, a prohibitory injunction is granted only in the case of a negative promise.</w:t>
      </w:r>
      <w:r w:rsidR="00DE7F02">
        <w:rPr>
          <w:rFonts w:ascii="Times New Roman" w:hAnsi="Times New Roman" w:cs="Times New Roman"/>
          <w:sz w:val="24"/>
          <w:szCs w:val="24"/>
        </w:rPr>
        <w:t xml:space="preserve"> If for instance, the defendant has broken his agreement not to sell beer other than that brewed by the </w:t>
      </w:r>
      <w:r w:rsidR="00256602">
        <w:rPr>
          <w:rFonts w:ascii="Times New Roman" w:hAnsi="Times New Roman" w:cs="Times New Roman"/>
          <w:sz w:val="24"/>
          <w:szCs w:val="24"/>
        </w:rPr>
        <w:t>plaintiff;</w:t>
      </w:r>
      <w:r w:rsidR="00DE7F02">
        <w:rPr>
          <w:rFonts w:ascii="Times New Roman" w:hAnsi="Times New Roman" w:cs="Times New Roman"/>
          <w:sz w:val="24"/>
          <w:szCs w:val="24"/>
        </w:rPr>
        <w:t xml:space="preserve"> the court will order him to refrain from doing what he has expressly promised to do. A mandatory injunction on the other hand, is restorative in its effect, not merely preventive. It directs the defendants to take positive steps to undo what he has already done in breach of contract.</w:t>
      </w: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p w:rsidR="0057095D" w:rsidRDefault="0057095D" w:rsidP="005E342B">
      <w:pPr>
        <w:spacing w:line="480" w:lineRule="auto"/>
        <w:jc w:val="both"/>
        <w:rPr>
          <w:rFonts w:ascii="Times New Roman" w:hAnsi="Times New Roman" w:cs="Times New Roman"/>
          <w:sz w:val="24"/>
          <w:szCs w:val="24"/>
        </w:rPr>
      </w:pPr>
    </w:p>
    <w:sectPr w:rsidR="0057095D" w:rsidSect="004D1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25" w:rsidRDefault="00501525" w:rsidP="00312AB8">
      <w:pPr>
        <w:spacing w:after="0" w:line="240" w:lineRule="auto"/>
      </w:pPr>
      <w:r>
        <w:separator/>
      </w:r>
    </w:p>
  </w:endnote>
  <w:endnote w:type="continuationSeparator" w:id="0">
    <w:p w:rsidR="00501525" w:rsidRDefault="00501525" w:rsidP="0031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25" w:rsidRDefault="00501525" w:rsidP="00312AB8">
      <w:pPr>
        <w:spacing w:after="0" w:line="240" w:lineRule="auto"/>
      </w:pPr>
      <w:r>
        <w:separator/>
      </w:r>
    </w:p>
  </w:footnote>
  <w:footnote w:type="continuationSeparator" w:id="0">
    <w:p w:rsidR="00501525" w:rsidRDefault="00501525" w:rsidP="00312AB8">
      <w:pPr>
        <w:spacing w:after="0" w:line="240" w:lineRule="auto"/>
      </w:pPr>
      <w:r>
        <w:continuationSeparator/>
      </w:r>
    </w:p>
  </w:footnote>
  <w:footnote w:id="1">
    <w:p w:rsidR="00312AB8" w:rsidRDefault="00312AB8">
      <w:pPr>
        <w:pStyle w:val="FootnoteText"/>
      </w:pPr>
      <w:r>
        <w:rPr>
          <w:rStyle w:val="FootnoteReference"/>
        </w:rPr>
        <w:footnoteRef/>
      </w:r>
      <w:r>
        <w:t xml:space="preserve"> </w:t>
      </w:r>
      <w:r w:rsidR="00CB6F9D">
        <w:t>&lt;http://legaldictionary.net/breach-of-contract/&gt;</w:t>
      </w:r>
    </w:p>
  </w:footnote>
  <w:footnote w:id="2">
    <w:p w:rsidR="00C74693" w:rsidRDefault="00C74693">
      <w:pPr>
        <w:pStyle w:val="FootnoteText"/>
      </w:pPr>
      <w:r>
        <w:rPr>
          <w:rStyle w:val="FootnoteReference"/>
        </w:rPr>
        <w:footnoteRef/>
      </w:r>
      <w:r>
        <w:t xml:space="preserve"> (1886) 16 QBD 460 at 467</w:t>
      </w:r>
    </w:p>
  </w:footnote>
  <w:footnote w:id="3">
    <w:p w:rsidR="00C74693" w:rsidRDefault="00C74693">
      <w:pPr>
        <w:pStyle w:val="FootnoteText"/>
      </w:pPr>
      <w:r>
        <w:rPr>
          <w:rStyle w:val="FootnoteReference"/>
        </w:rPr>
        <w:footnoteRef/>
      </w:r>
      <w:r>
        <w:t xml:space="preserve"> (unreported) High Court of Western State, Ibadan judicial Division, Somolu, C.J, Suit No. 1/205/69/ delivered on September 28, 1969.</w:t>
      </w:r>
    </w:p>
  </w:footnote>
  <w:footnote w:id="4">
    <w:p w:rsidR="00DE52CF" w:rsidRDefault="00DE52CF">
      <w:pPr>
        <w:pStyle w:val="FootnoteText"/>
      </w:pPr>
      <w:r>
        <w:rPr>
          <w:rStyle w:val="FootnoteReference"/>
        </w:rPr>
        <w:footnoteRef/>
      </w:r>
      <w:r>
        <w:t xml:space="preserve"> (1853) 2 E &amp;B 678</w:t>
      </w:r>
    </w:p>
  </w:footnote>
  <w:footnote w:id="5">
    <w:p w:rsidR="00EC3C71" w:rsidRDefault="00EC3C71">
      <w:pPr>
        <w:pStyle w:val="FootnoteText"/>
      </w:pPr>
      <w:r>
        <w:rPr>
          <w:rStyle w:val="FootnoteReference"/>
        </w:rPr>
        <w:footnoteRef/>
      </w:r>
      <w:r>
        <w:t xml:space="preserve"> (1967) 1 ALL N.L.R 35</w:t>
      </w:r>
    </w:p>
  </w:footnote>
  <w:footnote w:id="6">
    <w:p w:rsidR="00C97F7E" w:rsidRDefault="00C97F7E">
      <w:pPr>
        <w:pStyle w:val="FootnoteText"/>
      </w:pPr>
      <w:r>
        <w:rPr>
          <w:rStyle w:val="FootnoteReference"/>
        </w:rPr>
        <w:footnoteRef/>
      </w:r>
      <w:r>
        <w:t xml:space="preserve"> (1884)9 A C 434</w:t>
      </w:r>
    </w:p>
  </w:footnote>
  <w:footnote w:id="7">
    <w:p w:rsidR="00B05427" w:rsidRDefault="00B05427">
      <w:pPr>
        <w:pStyle w:val="FootnoteText"/>
      </w:pPr>
      <w:r>
        <w:rPr>
          <w:rStyle w:val="FootnoteReference"/>
        </w:rPr>
        <w:footnoteRef/>
      </w:r>
      <w:r>
        <w:t xml:space="preserve"> Bowen L.J in Bentsen v Tailor &amp; Sons &amp;Co (1893) 2 Q.B 274 at p. 281</w:t>
      </w:r>
    </w:p>
  </w:footnote>
  <w:footnote w:id="8">
    <w:p w:rsidR="000839B1" w:rsidRDefault="000839B1" w:rsidP="000839B1">
      <w:pPr>
        <w:pStyle w:val="FootnoteText"/>
      </w:pPr>
      <w:r>
        <w:rPr>
          <w:rStyle w:val="FootnoteReference"/>
        </w:rPr>
        <w:footnoteRef/>
      </w:r>
      <w:r>
        <w:t xml:space="preserve"> (1999) 2 FLR 139</w:t>
      </w:r>
    </w:p>
  </w:footnote>
  <w:footnote w:id="9">
    <w:p w:rsidR="00AD6924" w:rsidRDefault="00AD6924">
      <w:pPr>
        <w:pStyle w:val="FootnoteText"/>
      </w:pPr>
      <w:r>
        <w:rPr>
          <w:rStyle w:val="FootnoteReference"/>
        </w:rPr>
        <w:footnoteRef/>
      </w:r>
      <w:r>
        <w:t xml:space="preserve"> (1854) 9 Exch 341</w:t>
      </w:r>
    </w:p>
  </w:footnote>
  <w:footnote w:id="10">
    <w:p w:rsidR="00B91B4D" w:rsidRDefault="00B91B4D">
      <w:pPr>
        <w:pStyle w:val="FootnoteText"/>
      </w:pPr>
      <w:r>
        <w:rPr>
          <w:rStyle w:val="FootnoteReference"/>
        </w:rPr>
        <w:footnoteRef/>
      </w:r>
      <w:r>
        <w:t xml:space="preserve"> </w:t>
      </w:r>
      <w:hyperlink r:id="rId1" w:history="1">
        <w:r w:rsidRPr="008A06ED">
          <w:rPr>
            <w:rStyle w:val="Hyperlink"/>
          </w:rPr>
          <w:t>http://swarb.co.uk</w:t>
        </w:r>
      </w:hyperlink>
      <w:r>
        <w:t xml:space="preserve"> (1993) 1 WLR 1361</w:t>
      </w:r>
    </w:p>
  </w:footnote>
  <w:footnote w:id="11">
    <w:p w:rsidR="007B18A5" w:rsidRDefault="007B18A5">
      <w:pPr>
        <w:pStyle w:val="FootnoteText"/>
      </w:pPr>
      <w:r>
        <w:rPr>
          <w:rStyle w:val="FootnoteReference"/>
        </w:rPr>
        <w:footnoteRef/>
      </w:r>
      <w:r>
        <w:t xml:space="preserve"> (1997) 2 WLR 898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36"/>
    <w:multiLevelType w:val="hybridMultilevel"/>
    <w:tmpl w:val="FD5A3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75BDA"/>
    <w:multiLevelType w:val="hybridMultilevel"/>
    <w:tmpl w:val="3430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0590"/>
    <w:rsid w:val="000839B1"/>
    <w:rsid w:val="00096EF9"/>
    <w:rsid w:val="000C3DC1"/>
    <w:rsid w:val="00123050"/>
    <w:rsid w:val="001548DD"/>
    <w:rsid w:val="00171653"/>
    <w:rsid w:val="001724BF"/>
    <w:rsid w:val="001A28DE"/>
    <w:rsid w:val="002353F4"/>
    <w:rsid w:val="00256602"/>
    <w:rsid w:val="00265169"/>
    <w:rsid w:val="00266767"/>
    <w:rsid w:val="002A01DA"/>
    <w:rsid w:val="002C1BB9"/>
    <w:rsid w:val="002D3819"/>
    <w:rsid w:val="00312AB8"/>
    <w:rsid w:val="00320590"/>
    <w:rsid w:val="00364951"/>
    <w:rsid w:val="00386CFB"/>
    <w:rsid w:val="003879F4"/>
    <w:rsid w:val="003967FE"/>
    <w:rsid w:val="003A348F"/>
    <w:rsid w:val="003C13D3"/>
    <w:rsid w:val="00410F29"/>
    <w:rsid w:val="0047110E"/>
    <w:rsid w:val="0047574B"/>
    <w:rsid w:val="00487422"/>
    <w:rsid w:val="004B5544"/>
    <w:rsid w:val="004C0D86"/>
    <w:rsid w:val="004D13D9"/>
    <w:rsid w:val="004E6C13"/>
    <w:rsid w:val="00501525"/>
    <w:rsid w:val="00541F80"/>
    <w:rsid w:val="0057095D"/>
    <w:rsid w:val="00585830"/>
    <w:rsid w:val="00594DE1"/>
    <w:rsid w:val="005E342B"/>
    <w:rsid w:val="005E4A71"/>
    <w:rsid w:val="00603382"/>
    <w:rsid w:val="0060682E"/>
    <w:rsid w:val="006213CB"/>
    <w:rsid w:val="00623D91"/>
    <w:rsid w:val="00664CF3"/>
    <w:rsid w:val="00727CA1"/>
    <w:rsid w:val="007B18A5"/>
    <w:rsid w:val="007D50B4"/>
    <w:rsid w:val="007E6FBB"/>
    <w:rsid w:val="00847977"/>
    <w:rsid w:val="0092161D"/>
    <w:rsid w:val="009B511C"/>
    <w:rsid w:val="00A174A1"/>
    <w:rsid w:val="00A549A3"/>
    <w:rsid w:val="00A75A91"/>
    <w:rsid w:val="00A76606"/>
    <w:rsid w:val="00AD6924"/>
    <w:rsid w:val="00B02355"/>
    <w:rsid w:val="00B05427"/>
    <w:rsid w:val="00B30B1D"/>
    <w:rsid w:val="00B91B4D"/>
    <w:rsid w:val="00B9654E"/>
    <w:rsid w:val="00BB76BC"/>
    <w:rsid w:val="00BC2519"/>
    <w:rsid w:val="00BD470E"/>
    <w:rsid w:val="00C24025"/>
    <w:rsid w:val="00C36915"/>
    <w:rsid w:val="00C7438F"/>
    <w:rsid w:val="00C74693"/>
    <w:rsid w:val="00C874C2"/>
    <w:rsid w:val="00C97F7E"/>
    <w:rsid w:val="00CA19F5"/>
    <w:rsid w:val="00CB6F9D"/>
    <w:rsid w:val="00CC0D41"/>
    <w:rsid w:val="00CD35EE"/>
    <w:rsid w:val="00CD5075"/>
    <w:rsid w:val="00CF10A6"/>
    <w:rsid w:val="00CF5DFD"/>
    <w:rsid w:val="00D06F72"/>
    <w:rsid w:val="00D147FA"/>
    <w:rsid w:val="00DE52CF"/>
    <w:rsid w:val="00DE7F02"/>
    <w:rsid w:val="00EC3C71"/>
    <w:rsid w:val="00F5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B5AC5-9AE6-4066-A77B-52267C31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90"/>
    <w:pPr>
      <w:ind w:left="720"/>
      <w:contextualSpacing/>
    </w:pPr>
  </w:style>
  <w:style w:type="paragraph" w:styleId="FootnoteText">
    <w:name w:val="footnote text"/>
    <w:basedOn w:val="Normal"/>
    <w:link w:val="FootnoteTextChar"/>
    <w:uiPriority w:val="99"/>
    <w:semiHidden/>
    <w:unhideWhenUsed/>
    <w:rsid w:val="00312A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AB8"/>
    <w:rPr>
      <w:sz w:val="20"/>
      <w:szCs w:val="20"/>
    </w:rPr>
  </w:style>
  <w:style w:type="character" w:styleId="FootnoteReference">
    <w:name w:val="footnote reference"/>
    <w:basedOn w:val="DefaultParagraphFont"/>
    <w:uiPriority w:val="99"/>
    <w:semiHidden/>
    <w:unhideWhenUsed/>
    <w:rsid w:val="00312AB8"/>
    <w:rPr>
      <w:vertAlign w:val="superscript"/>
    </w:rPr>
  </w:style>
  <w:style w:type="character" w:styleId="Hyperlink">
    <w:name w:val="Hyperlink"/>
    <w:basedOn w:val="DefaultParagraphFont"/>
    <w:uiPriority w:val="99"/>
    <w:unhideWhenUsed/>
    <w:rsid w:val="00B91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ar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7298-2033-4F46-8DE9-DCA51A57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10</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ONYENEME OBIEZE</dc:creator>
  <cp:lastModifiedBy>obiezechima112@outlook.com</cp:lastModifiedBy>
  <cp:revision>42</cp:revision>
  <dcterms:created xsi:type="dcterms:W3CDTF">2020-05-04T15:18:00Z</dcterms:created>
  <dcterms:modified xsi:type="dcterms:W3CDTF">2020-05-07T20:16:00Z</dcterms:modified>
</cp:coreProperties>
</file>