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6B" w:rsidRDefault="008A1E6B" w:rsidP="00B238E0">
      <w:pPr>
        <w:spacing w:line="480" w:lineRule="auto"/>
        <w:rPr>
          <w:rFonts w:ascii="Times New Roman" w:hAnsi="Times New Roman" w:cs="Times New Roman"/>
          <w:b/>
          <w:sz w:val="28"/>
          <w:szCs w:val="24"/>
        </w:rPr>
      </w:pPr>
      <w:r>
        <w:rPr>
          <w:rFonts w:ascii="Times New Roman" w:hAnsi="Times New Roman" w:cs="Times New Roman"/>
          <w:b/>
          <w:sz w:val="28"/>
          <w:szCs w:val="24"/>
        </w:rPr>
        <w:t>NAME: LOLOMARI TAMUNOIBI ESTHER</w:t>
      </w:r>
    </w:p>
    <w:p w:rsidR="008A1E6B" w:rsidRDefault="008A1E6B" w:rsidP="00B238E0">
      <w:pPr>
        <w:spacing w:line="480" w:lineRule="auto"/>
        <w:rPr>
          <w:rFonts w:ascii="Times New Roman" w:hAnsi="Times New Roman" w:cs="Times New Roman"/>
          <w:b/>
          <w:sz w:val="28"/>
          <w:szCs w:val="24"/>
        </w:rPr>
      </w:pPr>
      <w:r>
        <w:rPr>
          <w:rFonts w:ascii="Times New Roman" w:hAnsi="Times New Roman" w:cs="Times New Roman"/>
          <w:b/>
          <w:sz w:val="28"/>
          <w:szCs w:val="24"/>
        </w:rPr>
        <w:t>MATRIC NO: 18/LAW01/142</w:t>
      </w:r>
    </w:p>
    <w:p w:rsidR="008A1E6B" w:rsidRDefault="008A1E6B" w:rsidP="00B238E0">
      <w:pPr>
        <w:spacing w:line="480" w:lineRule="auto"/>
        <w:rPr>
          <w:rFonts w:ascii="Times New Roman" w:hAnsi="Times New Roman" w:cs="Times New Roman"/>
          <w:b/>
          <w:sz w:val="28"/>
          <w:szCs w:val="24"/>
        </w:rPr>
      </w:pPr>
      <w:r>
        <w:rPr>
          <w:rFonts w:ascii="Times New Roman" w:hAnsi="Times New Roman" w:cs="Times New Roman"/>
          <w:b/>
          <w:sz w:val="28"/>
          <w:szCs w:val="24"/>
        </w:rPr>
        <w:t>COURSE: LAW OF CONTRACT II</w:t>
      </w:r>
    </w:p>
    <w:p w:rsidR="008A1E6B" w:rsidRDefault="008A1E6B" w:rsidP="00B238E0">
      <w:pPr>
        <w:spacing w:line="480" w:lineRule="auto"/>
        <w:rPr>
          <w:rFonts w:ascii="Times New Roman" w:hAnsi="Times New Roman" w:cs="Times New Roman"/>
          <w:b/>
          <w:sz w:val="28"/>
          <w:szCs w:val="24"/>
        </w:rPr>
      </w:pPr>
      <w:r>
        <w:rPr>
          <w:rFonts w:ascii="Times New Roman" w:hAnsi="Times New Roman" w:cs="Times New Roman"/>
          <w:b/>
          <w:sz w:val="28"/>
          <w:szCs w:val="24"/>
        </w:rPr>
        <w:t>COURSE CODE: LPB 202</w:t>
      </w:r>
    </w:p>
    <w:p w:rsidR="008A1E6B" w:rsidRPr="008A1E6B" w:rsidRDefault="008A1E6B" w:rsidP="00B238E0">
      <w:pPr>
        <w:spacing w:line="480" w:lineRule="auto"/>
        <w:rPr>
          <w:rFonts w:ascii="Times New Roman" w:hAnsi="Times New Roman" w:cs="Times New Roman"/>
          <w:b/>
          <w:sz w:val="28"/>
          <w:szCs w:val="24"/>
        </w:rPr>
      </w:pPr>
      <w:r>
        <w:rPr>
          <w:rFonts w:ascii="Times New Roman" w:hAnsi="Times New Roman" w:cs="Times New Roman"/>
          <w:b/>
          <w:sz w:val="28"/>
          <w:szCs w:val="24"/>
        </w:rPr>
        <w:t>ASSIGNMENT TITLE: BREACH OF CONTRACT</w:t>
      </w:r>
      <w:r>
        <w:rPr>
          <w:rFonts w:ascii="Times New Roman" w:hAnsi="Times New Roman" w:cs="Times New Roman"/>
          <w:b/>
          <w:sz w:val="28"/>
          <w:szCs w:val="24"/>
        </w:rPr>
        <w:tab/>
      </w:r>
    </w:p>
    <w:p w:rsidR="008A1E6B" w:rsidRDefault="008A1E6B">
      <w:pPr>
        <w:rPr>
          <w:rFonts w:ascii="Times New Roman" w:hAnsi="Times New Roman" w:cs="Times New Roman"/>
          <w:sz w:val="24"/>
          <w:szCs w:val="24"/>
        </w:rPr>
      </w:pPr>
      <w:r>
        <w:rPr>
          <w:rFonts w:ascii="Times New Roman" w:hAnsi="Times New Roman" w:cs="Times New Roman"/>
          <w:sz w:val="24"/>
          <w:szCs w:val="24"/>
        </w:rPr>
        <w:br w:type="page"/>
      </w:r>
    </w:p>
    <w:p w:rsidR="00671FF6" w:rsidRPr="00E40F4D" w:rsidRDefault="00B238E0" w:rsidP="00B238E0">
      <w:pPr>
        <w:spacing w:line="480" w:lineRule="auto"/>
        <w:rPr>
          <w:rFonts w:ascii="Times New Roman" w:hAnsi="Times New Roman" w:cs="Times New Roman"/>
          <w:sz w:val="24"/>
          <w:szCs w:val="24"/>
        </w:rPr>
      </w:pPr>
      <w:r w:rsidRPr="00E40F4D">
        <w:rPr>
          <w:rFonts w:ascii="Times New Roman" w:hAnsi="Times New Roman" w:cs="Times New Roman"/>
          <w:sz w:val="24"/>
          <w:szCs w:val="24"/>
        </w:rPr>
        <w:lastRenderedPageBreak/>
        <w:t xml:space="preserve">Breach of contract </w:t>
      </w:r>
      <w:r w:rsidR="00444ACB" w:rsidRPr="00E40F4D">
        <w:rPr>
          <w:rFonts w:ascii="Times New Roman" w:hAnsi="Times New Roman" w:cs="Times New Roman"/>
          <w:sz w:val="24"/>
          <w:szCs w:val="24"/>
        </w:rPr>
        <w:t>is one of the generally accepted modes of discharging a contract. Discharge of contract, means in general, that the contractual relationship between the two parties has come to an end and the parties are freed from their contractual obligations to each other thereafter.</w:t>
      </w:r>
      <w:r w:rsidR="00444ACB" w:rsidRPr="00E40F4D">
        <w:rPr>
          <w:rStyle w:val="FootnoteReference"/>
          <w:rFonts w:ascii="Times New Roman" w:hAnsi="Times New Roman" w:cs="Times New Roman"/>
          <w:sz w:val="24"/>
          <w:szCs w:val="24"/>
        </w:rPr>
        <w:footnoteReference w:id="2"/>
      </w:r>
      <w:r w:rsidR="00444ACB" w:rsidRPr="00E40F4D">
        <w:rPr>
          <w:rFonts w:ascii="Times New Roman" w:hAnsi="Times New Roman" w:cs="Times New Roman"/>
          <w:sz w:val="24"/>
          <w:szCs w:val="24"/>
        </w:rPr>
        <w:t xml:space="preserve"> It is generally accepted that there are four modes of discharging a contract. These modes are:</w:t>
      </w:r>
    </w:p>
    <w:p w:rsidR="00444ACB" w:rsidRPr="00E40F4D" w:rsidRDefault="00444ACB" w:rsidP="00444ACB">
      <w:pPr>
        <w:pStyle w:val="ListParagraph"/>
        <w:numPr>
          <w:ilvl w:val="0"/>
          <w:numId w:val="1"/>
        </w:numPr>
        <w:spacing w:line="480" w:lineRule="auto"/>
        <w:rPr>
          <w:rFonts w:ascii="Times New Roman" w:hAnsi="Times New Roman" w:cs="Times New Roman"/>
          <w:sz w:val="24"/>
          <w:szCs w:val="24"/>
        </w:rPr>
      </w:pPr>
      <w:r w:rsidRPr="00E40F4D">
        <w:rPr>
          <w:rFonts w:ascii="Times New Roman" w:hAnsi="Times New Roman" w:cs="Times New Roman"/>
          <w:sz w:val="24"/>
          <w:szCs w:val="24"/>
        </w:rPr>
        <w:t>Discharge by performance</w:t>
      </w:r>
    </w:p>
    <w:p w:rsidR="00444ACB" w:rsidRPr="00E40F4D" w:rsidRDefault="00444ACB" w:rsidP="00444ACB">
      <w:pPr>
        <w:pStyle w:val="ListParagraph"/>
        <w:numPr>
          <w:ilvl w:val="0"/>
          <w:numId w:val="1"/>
        </w:numPr>
        <w:spacing w:line="480" w:lineRule="auto"/>
        <w:rPr>
          <w:rFonts w:ascii="Times New Roman" w:hAnsi="Times New Roman" w:cs="Times New Roman"/>
          <w:sz w:val="24"/>
          <w:szCs w:val="24"/>
        </w:rPr>
      </w:pPr>
      <w:r w:rsidRPr="00E40F4D">
        <w:rPr>
          <w:rFonts w:ascii="Times New Roman" w:hAnsi="Times New Roman" w:cs="Times New Roman"/>
          <w:sz w:val="24"/>
          <w:szCs w:val="24"/>
        </w:rPr>
        <w:t>Discharge by agreement</w:t>
      </w:r>
    </w:p>
    <w:p w:rsidR="00444ACB" w:rsidRPr="00E40F4D" w:rsidRDefault="00444ACB" w:rsidP="00444ACB">
      <w:pPr>
        <w:pStyle w:val="ListParagraph"/>
        <w:numPr>
          <w:ilvl w:val="0"/>
          <w:numId w:val="1"/>
        </w:numPr>
        <w:spacing w:line="480" w:lineRule="auto"/>
        <w:rPr>
          <w:rFonts w:ascii="Times New Roman" w:hAnsi="Times New Roman" w:cs="Times New Roman"/>
          <w:sz w:val="24"/>
          <w:szCs w:val="24"/>
        </w:rPr>
      </w:pPr>
      <w:r w:rsidRPr="00E40F4D">
        <w:rPr>
          <w:rFonts w:ascii="Times New Roman" w:hAnsi="Times New Roman" w:cs="Times New Roman"/>
          <w:sz w:val="24"/>
          <w:szCs w:val="24"/>
        </w:rPr>
        <w:t>Discharge by breach</w:t>
      </w:r>
    </w:p>
    <w:p w:rsidR="00444ACB" w:rsidRPr="00E40F4D" w:rsidRDefault="00444ACB" w:rsidP="00444ACB">
      <w:pPr>
        <w:pStyle w:val="ListParagraph"/>
        <w:numPr>
          <w:ilvl w:val="0"/>
          <w:numId w:val="1"/>
        </w:numPr>
        <w:spacing w:line="480" w:lineRule="auto"/>
        <w:rPr>
          <w:rFonts w:ascii="Times New Roman" w:hAnsi="Times New Roman" w:cs="Times New Roman"/>
          <w:sz w:val="24"/>
          <w:szCs w:val="24"/>
        </w:rPr>
      </w:pPr>
      <w:r w:rsidRPr="00E40F4D">
        <w:rPr>
          <w:rFonts w:ascii="Times New Roman" w:hAnsi="Times New Roman" w:cs="Times New Roman"/>
          <w:sz w:val="24"/>
          <w:szCs w:val="24"/>
        </w:rPr>
        <w:t>Discharge by frustration</w:t>
      </w:r>
    </w:p>
    <w:p w:rsidR="00444ACB" w:rsidRPr="00E40F4D" w:rsidRDefault="00444ACB" w:rsidP="00B238E0">
      <w:pPr>
        <w:spacing w:line="480" w:lineRule="auto"/>
        <w:rPr>
          <w:rFonts w:ascii="Times New Roman" w:hAnsi="Times New Roman" w:cs="Times New Roman"/>
          <w:sz w:val="24"/>
          <w:szCs w:val="24"/>
        </w:rPr>
      </w:pPr>
      <w:r w:rsidRPr="00E40F4D">
        <w:rPr>
          <w:rFonts w:ascii="Times New Roman" w:hAnsi="Times New Roman" w:cs="Times New Roman"/>
          <w:sz w:val="24"/>
          <w:szCs w:val="24"/>
        </w:rPr>
        <w:t xml:space="preserve">This paper will </w:t>
      </w:r>
      <w:r w:rsidR="00B33CF3" w:rsidRPr="00E40F4D">
        <w:rPr>
          <w:rFonts w:ascii="Times New Roman" w:hAnsi="Times New Roman" w:cs="Times New Roman"/>
          <w:sz w:val="24"/>
          <w:szCs w:val="24"/>
        </w:rPr>
        <w:t xml:space="preserve">be </w:t>
      </w:r>
      <w:r w:rsidRPr="00E40F4D">
        <w:rPr>
          <w:rFonts w:ascii="Times New Roman" w:hAnsi="Times New Roman" w:cs="Times New Roman"/>
          <w:sz w:val="24"/>
          <w:szCs w:val="24"/>
        </w:rPr>
        <w:t>focus</w:t>
      </w:r>
      <w:r w:rsidR="00B33CF3" w:rsidRPr="00E40F4D">
        <w:rPr>
          <w:rFonts w:ascii="Times New Roman" w:hAnsi="Times New Roman" w:cs="Times New Roman"/>
          <w:sz w:val="24"/>
          <w:szCs w:val="24"/>
        </w:rPr>
        <w:t>ed</w:t>
      </w:r>
      <w:r w:rsidRPr="00E40F4D">
        <w:rPr>
          <w:rFonts w:ascii="Times New Roman" w:hAnsi="Times New Roman" w:cs="Times New Roman"/>
          <w:sz w:val="24"/>
          <w:szCs w:val="24"/>
        </w:rPr>
        <w:t xml:space="preserve"> on the third </w:t>
      </w:r>
      <w:r w:rsidR="00B33CF3" w:rsidRPr="00E40F4D">
        <w:rPr>
          <w:rFonts w:ascii="Times New Roman" w:hAnsi="Times New Roman" w:cs="Times New Roman"/>
          <w:sz w:val="24"/>
          <w:szCs w:val="24"/>
        </w:rPr>
        <w:t xml:space="preserve">mode of discharging a contract, </w:t>
      </w:r>
      <w:r w:rsidRPr="00E40F4D">
        <w:rPr>
          <w:rFonts w:ascii="Times New Roman" w:hAnsi="Times New Roman" w:cs="Times New Roman"/>
          <w:sz w:val="24"/>
          <w:szCs w:val="24"/>
        </w:rPr>
        <w:t>which is discharge by</w:t>
      </w:r>
      <w:r w:rsidR="00B33CF3" w:rsidRPr="00E40F4D">
        <w:rPr>
          <w:rFonts w:ascii="Times New Roman" w:hAnsi="Times New Roman" w:cs="Times New Roman"/>
          <w:sz w:val="24"/>
          <w:szCs w:val="24"/>
        </w:rPr>
        <w:t xml:space="preserve"> breach and the remedies available to an aggrieved party for a breach of contract.</w:t>
      </w:r>
    </w:p>
    <w:p w:rsidR="00B33CF3" w:rsidRDefault="00B33CF3" w:rsidP="00B238E0">
      <w:pPr>
        <w:spacing w:line="480" w:lineRule="auto"/>
        <w:rPr>
          <w:rFonts w:ascii="Times New Roman" w:hAnsi="Times New Roman" w:cs="Times New Roman"/>
          <w:sz w:val="24"/>
          <w:szCs w:val="24"/>
        </w:rPr>
      </w:pPr>
      <w:r w:rsidRPr="00E40F4D">
        <w:rPr>
          <w:rFonts w:ascii="Times New Roman" w:hAnsi="Times New Roman" w:cs="Times New Roman"/>
          <w:sz w:val="24"/>
          <w:szCs w:val="24"/>
        </w:rPr>
        <w:t xml:space="preserve">To begin, one must know what constitutes a breach of contract. According to Treitel, “A breach of contract is committed when a party without lawful </w:t>
      </w:r>
      <w:r w:rsidR="00C81799">
        <w:rPr>
          <w:rFonts w:ascii="Times New Roman" w:hAnsi="Times New Roman" w:cs="Times New Roman"/>
          <w:sz w:val="24"/>
          <w:szCs w:val="24"/>
        </w:rPr>
        <w:t>excuse fails to perform what is due from him under the contract or performs defectively or incapacitates himself from performing”</w:t>
      </w:r>
      <w:r w:rsidR="00C81799">
        <w:rPr>
          <w:rStyle w:val="FootnoteReference"/>
          <w:rFonts w:ascii="Times New Roman" w:hAnsi="Times New Roman" w:cs="Times New Roman"/>
          <w:sz w:val="24"/>
          <w:szCs w:val="24"/>
        </w:rPr>
        <w:footnoteReference w:id="3"/>
      </w:r>
    </w:p>
    <w:p w:rsidR="00A3706D" w:rsidRDefault="00A3706D" w:rsidP="00B238E0">
      <w:pPr>
        <w:spacing w:line="480" w:lineRule="auto"/>
        <w:rPr>
          <w:rFonts w:ascii="Times New Roman" w:hAnsi="Times New Roman" w:cs="Times New Roman"/>
          <w:color w:val="222222"/>
          <w:sz w:val="24"/>
        </w:rPr>
      </w:pPr>
      <w:r>
        <w:rPr>
          <w:rFonts w:ascii="Times New Roman" w:hAnsi="Times New Roman" w:cs="Times New Roman"/>
          <w:color w:val="222222"/>
          <w:sz w:val="24"/>
        </w:rPr>
        <w:t xml:space="preserve">According to the Supreme Court in the case of </w:t>
      </w:r>
      <w:r>
        <w:rPr>
          <w:rFonts w:ascii="Times New Roman" w:hAnsi="Times New Roman" w:cs="Times New Roman"/>
          <w:b/>
          <w:i/>
          <w:color w:val="222222"/>
          <w:sz w:val="24"/>
        </w:rPr>
        <w:t>Saidu H. Ahmed &amp; Ors V Central Bank of Nigeria</w:t>
      </w:r>
      <w:r w:rsidR="00184B28">
        <w:rPr>
          <w:rStyle w:val="FootnoteReference"/>
          <w:rFonts w:ascii="Times New Roman" w:hAnsi="Times New Roman" w:cs="Times New Roman"/>
          <w:b/>
          <w:i/>
          <w:color w:val="222222"/>
          <w:sz w:val="24"/>
        </w:rPr>
        <w:footnoteReference w:id="4"/>
      </w:r>
      <w:r>
        <w:rPr>
          <w:rFonts w:ascii="Times New Roman" w:hAnsi="Times New Roman" w:cs="Times New Roman"/>
          <w:b/>
          <w:i/>
          <w:color w:val="222222"/>
          <w:sz w:val="24"/>
        </w:rPr>
        <w:t xml:space="preserve"> </w:t>
      </w:r>
      <w:r w:rsidR="00C81799" w:rsidRPr="00A3706D">
        <w:rPr>
          <w:rFonts w:ascii="Times New Roman" w:hAnsi="Times New Roman" w:cs="Times New Roman"/>
          <w:color w:val="222222"/>
          <w:sz w:val="24"/>
        </w:rPr>
        <w:t xml:space="preserve">A </w:t>
      </w:r>
      <w:r w:rsidR="00C81799" w:rsidRPr="00A3706D">
        <w:rPr>
          <w:rFonts w:ascii="Times New Roman" w:hAnsi="Times New Roman" w:cs="Times New Roman"/>
          <w:b/>
          <w:bCs/>
          <w:color w:val="222222"/>
          <w:sz w:val="24"/>
        </w:rPr>
        <w:t>contract will</w:t>
      </w:r>
      <w:r w:rsidR="00C81799" w:rsidRPr="00A3706D">
        <w:rPr>
          <w:rFonts w:ascii="Times New Roman" w:hAnsi="Times New Roman" w:cs="Times New Roman"/>
          <w:color w:val="222222"/>
          <w:sz w:val="24"/>
        </w:rPr>
        <w:t xml:space="preserve"> be </w:t>
      </w:r>
      <w:r w:rsidR="00C81799" w:rsidRPr="00A3706D">
        <w:rPr>
          <w:rFonts w:ascii="Times New Roman" w:hAnsi="Times New Roman" w:cs="Times New Roman"/>
          <w:b/>
          <w:bCs/>
          <w:color w:val="222222"/>
          <w:sz w:val="24"/>
        </w:rPr>
        <w:t>discharged</w:t>
      </w:r>
      <w:r w:rsidR="00C81799" w:rsidRPr="00A3706D">
        <w:rPr>
          <w:rFonts w:ascii="Times New Roman" w:hAnsi="Times New Roman" w:cs="Times New Roman"/>
          <w:color w:val="222222"/>
          <w:sz w:val="24"/>
        </w:rPr>
        <w:t xml:space="preserve"> by </w:t>
      </w:r>
      <w:r w:rsidR="00C81799" w:rsidRPr="00A3706D">
        <w:rPr>
          <w:rFonts w:ascii="Times New Roman" w:hAnsi="Times New Roman" w:cs="Times New Roman"/>
          <w:b/>
          <w:bCs/>
          <w:color w:val="222222"/>
          <w:sz w:val="24"/>
        </w:rPr>
        <w:t>breach</w:t>
      </w:r>
      <w:r w:rsidR="00C81799" w:rsidRPr="00A3706D">
        <w:rPr>
          <w:rFonts w:ascii="Times New Roman" w:hAnsi="Times New Roman" w:cs="Times New Roman"/>
          <w:color w:val="222222"/>
          <w:sz w:val="24"/>
        </w:rPr>
        <w:t xml:space="preserve"> when the party in </w:t>
      </w:r>
      <w:r w:rsidR="00C81799" w:rsidRPr="00A3706D">
        <w:rPr>
          <w:rFonts w:ascii="Times New Roman" w:hAnsi="Times New Roman" w:cs="Times New Roman"/>
          <w:b/>
          <w:bCs/>
          <w:color w:val="222222"/>
          <w:sz w:val="24"/>
        </w:rPr>
        <w:t>breach</w:t>
      </w:r>
      <w:r w:rsidR="00C81799" w:rsidRPr="00A3706D">
        <w:rPr>
          <w:rFonts w:ascii="Times New Roman" w:hAnsi="Times New Roman" w:cs="Times New Roman"/>
          <w:color w:val="222222"/>
          <w:sz w:val="24"/>
        </w:rPr>
        <w:t xml:space="preserve"> had acted contrary to the terms of the </w:t>
      </w:r>
      <w:r w:rsidR="00C81799" w:rsidRPr="00A3706D">
        <w:rPr>
          <w:rFonts w:ascii="Times New Roman" w:hAnsi="Times New Roman" w:cs="Times New Roman"/>
          <w:b/>
          <w:bCs/>
          <w:color w:val="222222"/>
          <w:sz w:val="24"/>
        </w:rPr>
        <w:t>contract</w:t>
      </w:r>
      <w:r w:rsidR="00C81799" w:rsidRPr="00A3706D">
        <w:rPr>
          <w:rFonts w:ascii="Times New Roman" w:hAnsi="Times New Roman" w:cs="Times New Roman"/>
          <w:color w:val="222222"/>
          <w:sz w:val="24"/>
        </w:rPr>
        <w:t xml:space="preserve"> either</w:t>
      </w:r>
      <w:r>
        <w:rPr>
          <w:rFonts w:ascii="Times New Roman" w:hAnsi="Times New Roman" w:cs="Times New Roman"/>
          <w:color w:val="222222"/>
          <w:sz w:val="24"/>
        </w:rPr>
        <w:t>:</w:t>
      </w:r>
    </w:p>
    <w:p w:rsidR="00A3706D" w:rsidRDefault="00C81799" w:rsidP="00B238E0">
      <w:pPr>
        <w:spacing w:line="480" w:lineRule="auto"/>
        <w:rPr>
          <w:rFonts w:ascii="Times New Roman" w:hAnsi="Times New Roman" w:cs="Times New Roman"/>
          <w:color w:val="222222"/>
          <w:sz w:val="24"/>
        </w:rPr>
      </w:pPr>
      <w:r w:rsidRPr="00A3706D">
        <w:rPr>
          <w:rFonts w:ascii="Times New Roman" w:hAnsi="Times New Roman" w:cs="Times New Roman"/>
          <w:color w:val="222222"/>
          <w:sz w:val="24"/>
        </w:rPr>
        <w:t xml:space="preserve"> 1. By non performance or </w:t>
      </w:r>
    </w:p>
    <w:p w:rsidR="00A3706D" w:rsidRDefault="00C81799" w:rsidP="00B238E0">
      <w:pPr>
        <w:spacing w:line="480" w:lineRule="auto"/>
        <w:rPr>
          <w:rFonts w:ascii="Times New Roman" w:hAnsi="Times New Roman" w:cs="Times New Roman"/>
          <w:color w:val="222222"/>
          <w:sz w:val="24"/>
        </w:rPr>
      </w:pPr>
      <w:r w:rsidRPr="00A3706D">
        <w:rPr>
          <w:rFonts w:ascii="Times New Roman" w:hAnsi="Times New Roman" w:cs="Times New Roman"/>
          <w:color w:val="222222"/>
          <w:sz w:val="24"/>
        </w:rPr>
        <w:t xml:space="preserve">2. By performing the </w:t>
      </w:r>
      <w:r w:rsidRPr="00A3706D">
        <w:rPr>
          <w:rFonts w:ascii="Times New Roman" w:hAnsi="Times New Roman" w:cs="Times New Roman"/>
          <w:b/>
          <w:bCs/>
          <w:color w:val="222222"/>
          <w:sz w:val="24"/>
        </w:rPr>
        <w:t>contract</w:t>
      </w:r>
      <w:r w:rsidRPr="00A3706D">
        <w:rPr>
          <w:rFonts w:ascii="Times New Roman" w:hAnsi="Times New Roman" w:cs="Times New Roman"/>
          <w:color w:val="222222"/>
          <w:sz w:val="24"/>
        </w:rPr>
        <w:t xml:space="preserve"> not in accordance with its terms or </w:t>
      </w:r>
    </w:p>
    <w:p w:rsidR="00E40F4D" w:rsidRPr="00E40F4D" w:rsidRDefault="00C81799" w:rsidP="00B238E0">
      <w:pPr>
        <w:spacing w:line="480" w:lineRule="auto"/>
        <w:rPr>
          <w:rFonts w:ascii="Times New Roman" w:hAnsi="Times New Roman" w:cs="Times New Roman"/>
          <w:sz w:val="24"/>
          <w:szCs w:val="24"/>
        </w:rPr>
      </w:pPr>
      <w:r w:rsidRPr="00A3706D">
        <w:rPr>
          <w:rFonts w:ascii="Times New Roman" w:hAnsi="Times New Roman" w:cs="Times New Roman"/>
          <w:color w:val="222222"/>
          <w:sz w:val="24"/>
        </w:rPr>
        <w:t xml:space="preserve">3. </w:t>
      </w:r>
      <w:r w:rsidR="00A3706D">
        <w:rPr>
          <w:rFonts w:ascii="Times New Roman" w:hAnsi="Times New Roman" w:cs="Times New Roman"/>
          <w:color w:val="222222"/>
          <w:sz w:val="24"/>
        </w:rPr>
        <w:t>B</w:t>
      </w:r>
      <w:r w:rsidR="00A3706D" w:rsidRPr="00A3706D">
        <w:rPr>
          <w:rFonts w:ascii="Times New Roman" w:hAnsi="Times New Roman" w:cs="Times New Roman"/>
          <w:color w:val="222222"/>
          <w:sz w:val="24"/>
        </w:rPr>
        <w:t>y</w:t>
      </w:r>
      <w:r w:rsidRPr="00A3706D">
        <w:rPr>
          <w:rFonts w:ascii="Times New Roman" w:hAnsi="Times New Roman" w:cs="Times New Roman"/>
          <w:color w:val="222222"/>
          <w:sz w:val="24"/>
        </w:rPr>
        <w:t xml:space="preserve"> wrongful repudiation of the </w:t>
      </w:r>
      <w:r w:rsidRPr="00A3706D">
        <w:rPr>
          <w:rFonts w:ascii="Times New Roman" w:hAnsi="Times New Roman" w:cs="Times New Roman"/>
          <w:b/>
          <w:bCs/>
          <w:color w:val="222222"/>
          <w:sz w:val="24"/>
        </w:rPr>
        <w:t>contract</w:t>
      </w:r>
      <w:r w:rsidRPr="00A3706D">
        <w:rPr>
          <w:rFonts w:ascii="Times New Roman" w:hAnsi="Times New Roman" w:cs="Times New Roman"/>
          <w:color w:val="222222"/>
          <w:sz w:val="24"/>
        </w:rPr>
        <w:t>.</w:t>
      </w:r>
    </w:p>
    <w:p w:rsidR="00E40F4D" w:rsidRPr="00E40F4D" w:rsidRDefault="00E40F4D" w:rsidP="00E40F4D">
      <w:pPr>
        <w:spacing w:line="480" w:lineRule="auto"/>
        <w:rPr>
          <w:rFonts w:ascii="Times New Roman" w:hAnsi="Times New Roman" w:cs="Times New Roman"/>
          <w:sz w:val="24"/>
          <w:szCs w:val="24"/>
        </w:rPr>
      </w:pPr>
      <w:r w:rsidRPr="00E40F4D">
        <w:rPr>
          <w:rFonts w:ascii="Times New Roman" w:hAnsi="Times New Roman" w:cs="Times New Roman"/>
          <w:b/>
          <w:bCs/>
          <w:sz w:val="24"/>
          <w:szCs w:val="24"/>
        </w:rPr>
        <w:lastRenderedPageBreak/>
        <w:t>When two parties make a contract and one breaches it, there are generally two types of remedies that are available to the non-breaching party: equitable remedies and legal remedies. Each type has several subtypes of remedies that may be available.</w:t>
      </w:r>
      <w:r w:rsidRPr="00E40F4D">
        <w:rPr>
          <w:rFonts w:ascii="Times New Roman" w:hAnsi="Times New Roman" w:cs="Times New Roman"/>
          <w:sz w:val="24"/>
          <w:szCs w:val="24"/>
        </w:rPr>
        <w:t xml:space="preserve"> </w:t>
      </w:r>
    </w:p>
    <w:p w:rsidR="00E40F4D" w:rsidRPr="00E40F4D" w:rsidRDefault="00E40F4D" w:rsidP="00E40F4D">
      <w:pPr>
        <w:spacing w:line="480" w:lineRule="auto"/>
        <w:rPr>
          <w:rFonts w:ascii="Times New Roman" w:hAnsi="Times New Roman" w:cs="Times New Roman"/>
          <w:b/>
          <w:sz w:val="24"/>
          <w:szCs w:val="24"/>
          <w:u w:val="single"/>
        </w:rPr>
      </w:pPr>
      <w:r w:rsidRPr="00E40F4D">
        <w:rPr>
          <w:rFonts w:ascii="Times New Roman" w:hAnsi="Times New Roman" w:cs="Times New Roman"/>
          <w:b/>
          <w:sz w:val="24"/>
          <w:szCs w:val="24"/>
          <w:u w:val="single"/>
        </w:rPr>
        <w:t>Equitable Remedies</w:t>
      </w:r>
    </w:p>
    <w:p w:rsidR="005D1B32" w:rsidRPr="005D1B32" w:rsidRDefault="00E40F4D" w:rsidP="005D1B32">
      <w:pPr>
        <w:spacing w:line="480" w:lineRule="auto"/>
        <w:rPr>
          <w:rFonts w:ascii="Times New Roman" w:hAnsi="Times New Roman" w:cs="Times New Roman"/>
          <w:sz w:val="24"/>
          <w:szCs w:val="24"/>
        </w:rPr>
      </w:pPr>
      <w:r w:rsidRPr="00E40F4D">
        <w:rPr>
          <w:rFonts w:ascii="Times New Roman" w:hAnsi="Times New Roman" w:cs="Times New Roman"/>
          <w:sz w:val="24"/>
          <w:szCs w:val="24"/>
        </w:rPr>
        <w:t>Equitable remedies are those that are imposed when money damages would not adequately cure the non-breaching party. The following types of equitable remedies may be</w:t>
      </w:r>
      <w:r>
        <w:rPr>
          <w:rFonts w:ascii="Times New Roman" w:hAnsi="Times New Roman" w:cs="Times New Roman"/>
          <w:sz w:val="24"/>
          <w:szCs w:val="24"/>
        </w:rPr>
        <w:t xml:space="preserve"> available in the given case:</w:t>
      </w:r>
      <w:r>
        <w:rPr>
          <w:rFonts w:ascii="Times New Roman" w:hAnsi="Times New Roman" w:cs="Times New Roman"/>
          <w:sz w:val="24"/>
          <w:szCs w:val="24"/>
        </w:rPr>
        <w:br/>
      </w:r>
      <w:r w:rsidRPr="00E40F4D">
        <w:rPr>
          <w:rFonts w:ascii="Times New Roman" w:hAnsi="Times New Roman" w:cs="Times New Roman"/>
          <w:sz w:val="24"/>
          <w:szCs w:val="24"/>
        </w:rPr>
        <w:t xml:space="preserve"> </w:t>
      </w:r>
      <w:r w:rsidRPr="00E40F4D">
        <w:rPr>
          <w:rFonts w:ascii="Times New Roman" w:hAnsi="Times New Roman" w:cs="Times New Roman"/>
          <w:b/>
          <w:sz w:val="24"/>
          <w:szCs w:val="24"/>
        </w:rPr>
        <w:t>Specific Performance</w:t>
      </w:r>
      <w:r w:rsidRPr="00E40F4D">
        <w:rPr>
          <w:rFonts w:ascii="Times New Roman" w:hAnsi="Times New Roman" w:cs="Times New Roman"/>
          <w:sz w:val="24"/>
          <w:szCs w:val="24"/>
        </w:rPr>
        <w:br/>
        <w:t>Specific performance is an order by the court that requires the breaching party to carry out the contract as it was originally written. This type of remedy is rare. However, it may be ordered in certain circumstances. For example, specific performance may be imposed when the subject matter is unique, such as a famous painting or a specific piece of property</w:t>
      </w:r>
      <w:r w:rsidR="00E62CFB">
        <w:rPr>
          <w:rFonts w:ascii="Times New Roman" w:hAnsi="Times New Roman" w:cs="Times New Roman"/>
          <w:sz w:val="24"/>
          <w:szCs w:val="24"/>
        </w:rPr>
        <w:t xml:space="preserve"> as was the case in </w:t>
      </w:r>
      <w:r w:rsidR="00E62CFB">
        <w:rPr>
          <w:rFonts w:ascii="Times New Roman" w:hAnsi="Times New Roman" w:cs="Times New Roman"/>
          <w:b/>
          <w:i/>
          <w:sz w:val="24"/>
          <w:szCs w:val="24"/>
        </w:rPr>
        <w:t>Falcke v Gray</w:t>
      </w:r>
      <w:r w:rsidR="00E62CFB">
        <w:rPr>
          <w:rStyle w:val="FootnoteReference"/>
          <w:rFonts w:ascii="Times New Roman" w:hAnsi="Times New Roman" w:cs="Times New Roman"/>
          <w:b/>
          <w:i/>
          <w:sz w:val="24"/>
          <w:szCs w:val="24"/>
        </w:rPr>
        <w:footnoteReference w:id="5"/>
      </w:r>
      <w:r w:rsidR="005D1B32">
        <w:rPr>
          <w:rFonts w:ascii="Times New Roman" w:hAnsi="Times New Roman" w:cs="Times New Roman"/>
          <w:sz w:val="24"/>
          <w:szCs w:val="24"/>
        </w:rPr>
        <w:t>; where t</w:t>
      </w:r>
      <w:r w:rsidR="005D1B32" w:rsidRPr="005D1B32">
        <w:rPr>
          <w:rFonts w:ascii="Times New Roman" w:hAnsi="Times New Roman" w:cs="Times New Roman"/>
          <w:sz w:val="24"/>
          <w:szCs w:val="24"/>
        </w:rPr>
        <w:t xml:space="preserve">he Court </w:t>
      </w:r>
      <w:r w:rsidR="005D1B32">
        <w:rPr>
          <w:rFonts w:ascii="Times New Roman" w:hAnsi="Times New Roman" w:cs="Times New Roman"/>
          <w:sz w:val="24"/>
          <w:szCs w:val="24"/>
        </w:rPr>
        <w:t xml:space="preserve">held that it </w:t>
      </w:r>
      <w:r w:rsidR="005D1B32" w:rsidRPr="005D1B32">
        <w:rPr>
          <w:rFonts w:ascii="Times New Roman" w:hAnsi="Times New Roman" w:cs="Times New Roman"/>
          <w:sz w:val="24"/>
          <w:szCs w:val="24"/>
        </w:rPr>
        <w:t>will enforce specific performance of a contract to purchase chattels, if damages will not be an adequate compensation. But where the contract, although not actually fraudulent, was one in which the parties were not on an equal footing, the Plaintiff knowing, and the purchaser being ignorant, of the value of the thing sold, and the price appeared to be inadequate, the Court refused relief.</w:t>
      </w:r>
    </w:p>
    <w:p w:rsidR="00E62CFB" w:rsidRDefault="00E40F4D" w:rsidP="00E62CFB">
      <w:pPr>
        <w:spacing w:line="480" w:lineRule="auto"/>
        <w:rPr>
          <w:rFonts w:ascii="Times New Roman" w:hAnsi="Times New Roman" w:cs="Times New Roman"/>
          <w:sz w:val="24"/>
          <w:szCs w:val="24"/>
        </w:rPr>
      </w:pPr>
      <w:r w:rsidRPr="00E40F4D">
        <w:rPr>
          <w:rFonts w:ascii="Times New Roman" w:hAnsi="Times New Roman" w:cs="Times New Roman"/>
          <w:sz w:val="24"/>
          <w:szCs w:val="24"/>
        </w:rPr>
        <w:t>Courts are hesitant to order specific performance because it requires the ongoing monitoring b</w:t>
      </w:r>
      <w:r>
        <w:rPr>
          <w:rFonts w:ascii="Times New Roman" w:hAnsi="Times New Roman" w:cs="Times New Roman"/>
          <w:sz w:val="24"/>
          <w:szCs w:val="24"/>
        </w:rPr>
        <w:t xml:space="preserve">y the court of the contract. </w:t>
      </w:r>
    </w:p>
    <w:p w:rsidR="00E62CFB" w:rsidRPr="00E62CFB" w:rsidRDefault="00E62CFB" w:rsidP="00E62CFB">
      <w:pPr>
        <w:spacing w:line="480" w:lineRule="auto"/>
        <w:rPr>
          <w:rFonts w:ascii="Times New Roman" w:hAnsi="Times New Roman" w:cs="Times New Roman"/>
          <w:b/>
          <w:sz w:val="24"/>
          <w:szCs w:val="24"/>
        </w:rPr>
      </w:pPr>
      <w:r w:rsidRPr="00E62CFB">
        <w:rPr>
          <w:rFonts w:ascii="Times New Roman" w:hAnsi="Times New Roman" w:cs="Times New Roman"/>
          <w:b/>
          <w:color w:val="212121"/>
          <w:sz w:val="24"/>
          <w:szCs w:val="24"/>
        </w:rPr>
        <w:t>Injunction</w:t>
      </w:r>
    </w:p>
    <w:p w:rsidR="00E62CFB" w:rsidRPr="00E62CFB" w:rsidRDefault="00E62CFB" w:rsidP="00E62CFB">
      <w:pPr>
        <w:spacing w:line="480" w:lineRule="auto"/>
        <w:rPr>
          <w:rFonts w:ascii="Times New Roman" w:hAnsi="Times New Roman" w:cs="Times New Roman"/>
          <w:color w:val="212121"/>
          <w:sz w:val="24"/>
          <w:szCs w:val="24"/>
        </w:rPr>
      </w:pPr>
      <w:r w:rsidRPr="00E62CFB">
        <w:rPr>
          <w:rFonts w:ascii="Times New Roman" w:hAnsi="Times New Roman" w:cs="Times New Roman"/>
          <w:color w:val="212121"/>
          <w:sz w:val="24"/>
          <w:szCs w:val="24"/>
        </w:rPr>
        <w:lastRenderedPageBreak/>
        <w:t>Like specific performance, an injunction is an equitable</w:t>
      </w:r>
      <w:r>
        <w:rPr>
          <w:rFonts w:ascii="Times New Roman" w:hAnsi="Times New Roman" w:cs="Times New Roman"/>
          <w:color w:val="212121"/>
          <w:sz w:val="24"/>
          <w:szCs w:val="24"/>
        </w:rPr>
        <w:t xml:space="preserve"> </w:t>
      </w:r>
      <w:r w:rsidRPr="00E62CFB">
        <w:rPr>
          <w:rFonts w:ascii="Times New Roman" w:hAnsi="Times New Roman" w:cs="Times New Roman"/>
          <w:color w:val="212121"/>
          <w:sz w:val="24"/>
          <w:szCs w:val="24"/>
        </w:rPr>
        <w:t>remedy and therefore only granted at the discretion of the court. It is awarded in circumstances where damages would not be an</w:t>
      </w:r>
      <w:r>
        <w:rPr>
          <w:rFonts w:ascii="Times New Roman" w:hAnsi="Times New Roman" w:cs="Times New Roman"/>
          <w:color w:val="212121"/>
          <w:sz w:val="24"/>
          <w:szCs w:val="24"/>
        </w:rPr>
        <w:t xml:space="preserve"> </w:t>
      </w:r>
      <w:r w:rsidRPr="00E62CFB">
        <w:rPr>
          <w:rFonts w:ascii="Times New Roman" w:hAnsi="Times New Roman" w:cs="Times New Roman"/>
          <w:color w:val="212121"/>
          <w:sz w:val="24"/>
          <w:szCs w:val="24"/>
        </w:rPr>
        <w:t>adequate remedy to compensate the claimant because the claimant</w:t>
      </w:r>
      <w:r>
        <w:rPr>
          <w:rFonts w:ascii="Times New Roman" w:hAnsi="Times New Roman" w:cs="Times New Roman"/>
          <w:color w:val="212121"/>
          <w:sz w:val="24"/>
          <w:szCs w:val="24"/>
        </w:rPr>
        <w:t xml:space="preserve"> </w:t>
      </w:r>
      <w:r w:rsidRPr="00E62CFB">
        <w:rPr>
          <w:rFonts w:ascii="Times New Roman" w:hAnsi="Times New Roman" w:cs="Times New Roman"/>
          <w:color w:val="212121"/>
          <w:sz w:val="24"/>
          <w:szCs w:val="24"/>
        </w:rPr>
        <w:t>needs to restrain the defendant from starting or continuing a</w:t>
      </w:r>
      <w:r>
        <w:rPr>
          <w:rFonts w:ascii="Times New Roman" w:hAnsi="Times New Roman" w:cs="Times New Roman"/>
          <w:color w:val="212121"/>
          <w:sz w:val="24"/>
          <w:szCs w:val="24"/>
        </w:rPr>
        <w:t xml:space="preserve"> </w:t>
      </w:r>
      <w:r w:rsidRPr="00E62CFB">
        <w:rPr>
          <w:rFonts w:ascii="Times New Roman" w:hAnsi="Times New Roman" w:cs="Times New Roman"/>
          <w:color w:val="212121"/>
          <w:sz w:val="24"/>
          <w:szCs w:val="24"/>
        </w:rPr>
        <w:t>breach of a negative contractual undertaking (prohibitory</w:t>
      </w:r>
      <w:r>
        <w:rPr>
          <w:rFonts w:ascii="Times New Roman" w:hAnsi="Times New Roman" w:cs="Times New Roman"/>
          <w:color w:val="212121"/>
          <w:sz w:val="24"/>
          <w:szCs w:val="24"/>
        </w:rPr>
        <w:t xml:space="preserve"> </w:t>
      </w:r>
      <w:r w:rsidRPr="00E62CFB">
        <w:rPr>
          <w:rFonts w:ascii="Times New Roman" w:hAnsi="Times New Roman" w:cs="Times New Roman"/>
          <w:color w:val="212121"/>
          <w:sz w:val="24"/>
          <w:szCs w:val="24"/>
        </w:rPr>
        <w:t>injunction) or needs to compel performance of a positive</w:t>
      </w:r>
      <w:r>
        <w:rPr>
          <w:rFonts w:ascii="Times New Roman" w:hAnsi="Times New Roman" w:cs="Times New Roman"/>
          <w:color w:val="212121"/>
          <w:sz w:val="24"/>
          <w:szCs w:val="24"/>
        </w:rPr>
        <w:t xml:space="preserve"> </w:t>
      </w:r>
      <w:r w:rsidRPr="00E62CFB">
        <w:rPr>
          <w:rFonts w:ascii="Times New Roman" w:hAnsi="Times New Roman" w:cs="Times New Roman"/>
          <w:color w:val="212121"/>
          <w:sz w:val="24"/>
          <w:szCs w:val="24"/>
        </w:rPr>
        <w:t>contractual obligation (mandatory injunction).</w:t>
      </w:r>
    </w:p>
    <w:p w:rsidR="00E62CFB" w:rsidRPr="00E62CFB" w:rsidRDefault="00E62CFB" w:rsidP="00E62CFB">
      <w:pPr>
        <w:spacing w:line="480" w:lineRule="auto"/>
        <w:rPr>
          <w:rFonts w:ascii="Times New Roman" w:hAnsi="Times New Roman" w:cs="Times New Roman"/>
          <w:sz w:val="24"/>
          <w:szCs w:val="24"/>
        </w:rPr>
      </w:pPr>
      <w:r w:rsidRPr="00E62CFB">
        <w:rPr>
          <w:rFonts w:ascii="Times New Roman" w:hAnsi="Times New Roman" w:cs="Times New Roman"/>
          <w:color w:val="212121"/>
          <w:sz w:val="24"/>
          <w:szCs w:val="24"/>
        </w:rPr>
        <w:t>In exercising its discretion the court will consider the same</w:t>
      </w:r>
      <w:r>
        <w:rPr>
          <w:rFonts w:ascii="Times New Roman" w:hAnsi="Times New Roman" w:cs="Times New Roman"/>
          <w:color w:val="212121"/>
          <w:sz w:val="24"/>
          <w:szCs w:val="24"/>
        </w:rPr>
        <w:t xml:space="preserve"> </w:t>
      </w:r>
      <w:r w:rsidRPr="00E62CFB">
        <w:rPr>
          <w:rFonts w:ascii="Times New Roman" w:hAnsi="Times New Roman" w:cs="Times New Roman"/>
          <w:color w:val="212121"/>
          <w:sz w:val="24"/>
          <w:szCs w:val="24"/>
        </w:rPr>
        <w:t xml:space="preserve">factors as above for specific </w:t>
      </w:r>
      <w:r w:rsidRPr="00E62CFB">
        <w:rPr>
          <w:rFonts w:ascii="Times New Roman" w:hAnsi="Times New Roman" w:cs="Times New Roman"/>
          <w:sz w:val="24"/>
          <w:szCs w:val="24"/>
        </w:rPr>
        <w:t>performance and will use the balance of convenience test (weighing the benefit to the injured</w:t>
      </w:r>
      <w:r>
        <w:rPr>
          <w:rFonts w:ascii="Times New Roman" w:hAnsi="Times New Roman" w:cs="Times New Roman"/>
          <w:color w:val="212121"/>
          <w:sz w:val="24"/>
          <w:szCs w:val="24"/>
        </w:rPr>
        <w:t xml:space="preserve"> </w:t>
      </w:r>
      <w:r w:rsidRPr="00E62CFB">
        <w:rPr>
          <w:rFonts w:ascii="Times New Roman" w:hAnsi="Times New Roman" w:cs="Times New Roman"/>
          <w:color w:val="212121"/>
          <w:sz w:val="24"/>
          <w:szCs w:val="24"/>
        </w:rPr>
        <w:t>party and the detriment to the other party). An injunction will</w:t>
      </w:r>
      <w:r>
        <w:rPr>
          <w:rFonts w:ascii="Times New Roman" w:hAnsi="Times New Roman" w:cs="Times New Roman"/>
          <w:color w:val="212121"/>
          <w:sz w:val="24"/>
          <w:szCs w:val="24"/>
        </w:rPr>
        <w:t xml:space="preserve"> </w:t>
      </w:r>
      <w:r w:rsidRPr="00E62CFB">
        <w:rPr>
          <w:rFonts w:ascii="Times New Roman" w:hAnsi="Times New Roman" w:cs="Times New Roman"/>
          <w:color w:val="212121"/>
          <w:sz w:val="24"/>
          <w:szCs w:val="24"/>
        </w:rPr>
        <w:t>not be granted if its effect would be to compel a party to do</w:t>
      </w:r>
      <w:r>
        <w:rPr>
          <w:rFonts w:ascii="Times New Roman" w:hAnsi="Times New Roman" w:cs="Times New Roman"/>
          <w:color w:val="212121"/>
          <w:sz w:val="24"/>
          <w:szCs w:val="24"/>
        </w:rPr>
        <w:t xml:space="preserve"> </w:t>
      </w:r>
      <w:r w:rsidRPr="00E62CFB">
        <w:rPr>
          <w:rFonts w:ascii="Times New Roman" w:hAnsi="Times New Roman" w:cs="Times New Roman"/>
          <w:color w:val="212121"/>
          <w:sz w:val="24"/>
          <w:szCs w:val="24"/>
        </w:rPr>
        <w:t>something which he could not have been ordered to do by a decree</w:t>
      </w:r>
      <w:r>
        <w:rPr>
          <w:rFonts w:ascii="Times New Roman" w:hAnsi="Times New Roman" w:cs="Times New Roman"/>
          <w:color w:val="212121"/>
          <w:sz w:val="24"/>
          <w:szCs w:val="24"/>
        </w:rPr>
        <w:t xml:space="preserve"> </w:t>
      </w:r>
      <w:r w:rsidRPr="00E62CFB">
        <w:rPr>
          <w:rFonts w:ascii="Times New Roman" w:hAnsi="Times New Roman" w:cs="Times New Roman"/>
          <w:color w:val="212121"/>
          <w:sz w:val="24"/>
          <w:szCs w:val="24"/>
        </w:rPr>
        <w:t xml:space="preserve">of specific performance </w:t>
      </w:r>
      <w:r w:rsidRPr="00E62CFB">
        <w:rPr>
          <w:rStyle w:val="Emphasis"/>
          <w:rFonts w:ascii="Times New Roman" w:hAnsi="Times New Roman" w:cs="Times New Roman"/>
          <w:b/>
          <w:color w:val="212121"/>
          <w:sz w:val="24"/>
          <w:szCs w:val="24"/>
        </w:rPr>
        <w:t>Lumley v Wagner</w:t>
      </w:r>
      <w:r>
        <w:rPr>
          <w:rStyle w:val="FootnoteReference"/>
          <w:rFonts w:ascii="Times New Roman" w:hAnsi="Times New Roman" w:cs="Times New Roman"/>
          <w:i/>
          <w:iCs/>
          <w:color w:val="212121"/>
          <w:sz w:val="24"/>
          <w:szCs w:val="24"/>
        </w:rPr>
        <w:footnoteReference w:id="6"/>
      </w:r>
      <w:r>
        <w:rPr>
          <w:rStyle w:val="Emphasis"/>
          <w:rFonts w:ascii="Times New Roman" w:hAnsi="Times New Roman" w:cs="Times New Roman"/>
          <w:i w:val="0"/>
          <w:color w:val="212121"/>
          <w:sz w:val="24"/>
          <w:szCs w:val="24"/>
        </w:rPr>
        <w:t xml:space="preserve">; </w:t>
      </w:r>
      <w:hyperlink r:id="rId8" w:tooltip="Miss" w:history="1">
        <w:r w:rsidRPr="00E62CFB">
          <w:rPr>
            <w:rStyle w:val="Hyperlink"/>
            <w:rFonts w:ascii="Times New Roman" w:hAnsi="Times New Roman" w:cs="Times New Roman"/>
            <w:color w:val="auto"/>
            <w:sz w:val="24"/>
            <w:szCs w:val="24"/>
            <w:u w:val="none"/>
          </w:rPr>
          <w:t>Mlle</w:t>
        </w:r>
      </w:hyperlink>
      <w:r w:rsidRPr="00E62CFB">
        <w:rPr>
          <w:rFonts w:ascii="Times New Roman" w:hAnsi="Times New Roman" w:cs="Times New Roman"/>
          <w:sz w:val="24"/>
          <w:szCs w:val="24"/>
        </w:rPr>
        <w:t xml:space="preserve"> </w:t>
      </w:r>
      <w:hyperlink r:id="rId9" w:tooltip="Johanna Wagner" w:history="1">
        <w:r w:rsidRPr="00E62CFB">
          <w:rPr>
            <w:rStyle w:val="Hyperlink"/>
            <w:rFonts w:ascii="Times New Roman" w:hAnsi="Times New Roman" w:cs="Times New Roman"/>
            <w:color w:val="auto"/>
            <w:sz w:val="24"/>
            <w:szCs w:val="24"/>
            <w:u w:val="none"/>
          </w:rPr>
          <w:t>Johanna Wagner</w:t>
        </w:r>
      </w:hyperlink>
      <w:r w:rsidRPr="00E62CFB">
        <w:rPr>
          <w:rFonts w:ascii="Times New Roman" w:hAnsi="Times New Roman" w:cs="Times New Roman"/>
          <w:sz w:val="24"/>
          <w:szCs w:val="24"/>
        </w:rPr>
        <w:t xml:space="preserve"> was engaged by </w:t>
      </w:r>
      <w:hyperlink r:id="rId10" w:tooltip="Benjamin Lumley" w:history="1">
        <w:r w:rsidRPr="00E62CFB">
          <w:rPr>
            <w:rStyle w:val="Hyperlink"/>
            <w:rFonts w:ascii="Times New Roman" w:hAnsi="Times New Roman" w:cs="Times New Roman"/>
            <w:color w:val="auto"/>
            <w:sz w:val="24"/>
            <w:szCs w:val="24"/>
            <w:u w:val="none"/>
          </w:rPr>
          <w:t>Benjamin Lumley</w:t>
        </w:r>
      </w:hyperlink>
      <w:r w:rsidRPr="00E62CFB">
        <w:rPr>
          <w:rFonts w:ascii="Times New Roman" w:hAnsi="Times New Roman" w:cs="Times New Roman"/>
          <w:sz w:val="24"/>
          <w:szCs w:val="24"/>
        </w:rPr>
        <w:t xml:space="preserve"> to sing exclusively at </w:t>
      </w:r>
      <w:hyperlink r:id="rId11" w:tooltip="Her Majesty’s Theatre" w:history="1">
        <w:r w:rsidRPr="00E62CFB">
          <w:rPr>
            <w:rStyle w:val="Hyperlink"/>
            <w:rFonts w:ascii="Times New Roman" w:hAnsi="Times New Roman" w:cs="Times New Roman"/>
            <w:color w:val="auto"/>
            <w:sz w:val="24"/>
            <w:szCs w:val="24"/>
            <w:u w:val="none"/>
          </w:rPr>
          <w:t>Her Majesty’s Theatre</w:t>
        </w:r>
      </w:hyperlink>
      <w:r w:rsidRPr="00E62CFB">
        <w:rPr>
          <w:rFonts w:ascii="Times New Roman" w:hAnsi="Times New Roman" w:cs="Times New Roman"/>
          <w:sz w:val="24"/>
          <w:szCs w:val="24"/>
        </w:rPr>
        <w:t xml:space="preserve"> on </w:t>
      </w:r>
      <w:hyperlink r:id="rId12" w:tooltip="Haymarket (London)" w:history="1">
        <w:r w:rsidRPr="00E62CFB">
          <w:rPr>
            <w:rStyle w:val="Hyperlink"/>
            <w:rFonts w:ascii="Times New Roman" w:hAnsi="Times New Roman" w:cs="Times New Roman"/>
            <w:color w:val="auto"/>
            <w:sz w:val="24"/>
            <w:szCs w:val="24"/>
            <w:u w:val="none"/>
          </w:rPr>
          <w:t>Haymarket</w:t>
        </w:r>
      </w:hyperlink>
      <w:r w:rsidRPr="00E62CFB">
        <w:rPr>
          <w:rFonts w:ascii="Times New Roman" w:hAnsi="Times New Roman" w:cs="Times New Roman"/>
          <w:sz w:val="24"/>
          <w:szCs w:val="24"/>
        </w:rPr>
        <w:t xml:space="preserve"> from 1 April 1852 for 3 months, two nights a week. </w:t>
      </w:r>
      <w:hyperlink r:id="rId13" w:tooltip="Frederick Gye" w:history="1">
        <w:r w:rsidRPr="00E62CFB">
          <w:rPr>
            <w:rStyle w:val="Hyperlink"/>
            <w:rFonts w:ascii="Times New Roman" w:hAnsi="Times New Roman" w:cs="Times New Roman"/>
            <w:color w:val="auto"/>
            <w:sz w:val="24"/>
            <w:szCs w:val="24"/>
            <w:u w:val="none"/>
          </w:rPr>
          <w:t>Frederick Gye</w:t>
        </w:r>
      </w:hyperlink>
      <w:r w:rsidRPr="00E62CFB">
        <w:rPr>
          <w:rFonts w:ascii="Times New Roman" w:hAnsi="Times New Roman" w:cs="Times New Roman"/>
          <w:sz w:val="24"/>
          <w:szCs w:val="24"/>
        </w:rPr>
        <w:t xml:space="preserve">, who ran </w:t>
      </w:r>
      <w:hyperlink r:id="rId14" w:tooltip="Covent Garden Theatre" w:history="1">
        <w:r w:rsidRPr="00E62CFB">
          <w:rPr>
            <w:rStyle w:val="Hyperlink"/>
            <w:rFonts w:ascii="Times New Roman" w:hAnsi="Times New Roman" w:cs="Times New Roman"/>
            <w:color w:val="auto"/>
            <w:sz w:val="24"/>
            <w:szCs w:val="24"/>
            <w:u w:val="none"/>
          </w:rPr>
          <w:t>Covent Garden Theatre</w:t>
        </w:r>
      </w:hyperlink>
      <w:r w:rsidRPr="00E62CFB">
        <w:rPr>
          <w:rFonts w:ascii="Times New Roman" w:hAnsi="Times New Roman" w:cs="Times New Roman"/>
          <w:sz w:val="24"/>
          <w:szCs w:val="24"/>
        </w:rPr>
        <w:t xml:space="preserve">, offered her more money to break her contract with Mr. Lumley and sing for him. Sir James Parker granted an injunction to restrain Mlle Wagner. She appealed. </w:t>
      </w:r>
      <w:r w:rsidRPr="00E62CFB">
        <w:rPr>
          <w:rFonts w:ascii="Times New Roman" w:hAnsi="Times New Roman" w:cs="Times New Roman"/>
          <w:color w:val="202122"/>
          <w:sz w:val="24"/>
          <w:szCs w:val="24"/>
        </w:rPr>
        <w:t>Lord St Leonards LC, in the Court of Chancery, held the injunction did not constitute indirect specific performance of Wagner’s obligation to sing. So an order could be granted that prohibited Mlle Wagner from performing further other than at Her Majesty's Theatre.</w:t>
      </w:r>
    </w:p>
    <w:p w:rsidR="00E62CFB" w:rsidRPr="00E62CFB" w:rsidRDefault="00E62CFB" w:rsidP="00E62CFB">
      <w:pPr>
        <w:spacing w:line="480" w:lineRule="auto"/>
        <w:rPr>
          <w:rFonts w:ascii="Times New Roman" w:hAnsi="Times New Roman" w:cs="Times New Roman"/>
          <w:color w:val="212121"/>
          <w:sz w:val="24"/>
          <w:szCs w:val="24"/>
        </w:rPr>
      </w:pPr>
      <w:r w:rsidRPr="00E62CFB">
        <w:rPr>
          <w:rFonts w:ascii="Times New Roman" w:hAnsi="Times New Roman" w:cs="Times New Roman"/>
          <w:color w:val="212121"/>
          <w:sz w:val="24"/>
          <w:szCs w:val="24"/>
        </w:rPr>
        <w:t>In urgent cases a plaintiff may be able to obtain an interim</w:t>
      </w:r>
      <w:r>
        <w:rPr>
          <w:rFonts w:ascii="Times New Roman" w:hAnsi="Times New Roman" w:cs="Times New Roman"/>
          <w:color w:val="212121"/>
          <w:sz w:val="24"/>
          <w:szCs w:val="24"/>
        </w:rPr>
        <w:t xml:space="preserve"> </w:t>
      </w:r>
      <w:r w:rsidRPr="00E62CFB">
        <w:rPr>
          <w:rFonts w:ascii="Times New Roman" w:hAnsi="Times New Roman" w:cs="Times New Roman"/>
          <w:color w:val="212121"/>
          <w:sz w:val="24"/>
          <w:szCs w:val="24"/>
        </w:rPr>
        <w:t>injunction to restrain an act. Special types of injunction may be</w:t>
      </w:r>
      <w:r>
        <w:rPr>
          <w:rFonts w:ascii="Times New Roman" w:hAnsi="Times New Roman" w:cs="Times New Roman"/>
          <w:color w:val="212121"/>
          <w:sz w:val="24"/>
          <w:szCs w:val="24"/>
        </w:rPr>
        <w:t xml:space="preserve"> </w:t>
      </w:r>
      <w:r w:rsidRPr="00E62CFB">
        <w:rPr>
          <w:rFonts w:ascii="Times New Roman" w:hAnsi="Times New Roman" w:cs="Times New Roman"/>
          <w:color w:val="212121"/>
          <w:sz w:val="24"/>
          <w:szCs w:val="24"/>
        </w:rPr>
        <w:t xml:space="preserve">granted to preserve property </w:t>
      </w:r>
      <w:r>
        <w:rPr>
          <w:rFonts w:ascii="Times New Roman" w:hAnsi="Times New Roman" w:cs="Times New Roman"/>
          <w:color w:val="212121"/>
          <w:sz w:val="24"/>
          <w:szCs w:val="24"/>
        </w:rPr>
        <w:t>and assets pending trial</w:t>
      </w:r>
      <w:r w:rsidRPr="00E62CFB">
        <w:rPr>
          <w:rFonts w:ascii="Times New Roman" w:hAnsi="Times New Roman" w:cs="Times New Roman"/>
          <w:color w:val="212121"/>
          <w:sz w:val="24"/>
          <w:szCs w:val="24"/>
        </w:rPr>
        <w:t>.</w:t>
      </w:r>
    </w:p>
    <w:p w:rsidR="00E40F4D" w:rsidRPr="00E40F4D" w:rsidRDefault="00E40F4D" w:rsidP="00E40F4D">
      <w:pPr>
        <w:spacing w:line="480" w:lineRule="auto"/>
        <w:rPr>
          <w:rFonts w:ascii="Times New Roman" w:hAnsi="Times New Roman" w:cs="Times New Roman"/>
          <w:sz w:val="24"/>
          <w:szCs w:val="24"/>
        </w:rPr>
      </w:pPr>
      <w:r w:rsidRPr="00E40F4D">
        <w:rPr>
          <w:rFonts w:ascii="Times New Roman" w:hAnsi="Times New Roman" w:cs="Times New Roman"/>
          <w:sz w:val="24"/>
          <w:szCs w:val="24"/>
        </w:rPr>
        <w:t xml:space="preserve"> </w:t>
      </w:r>
      <w:r w:rsidRPr="00E40F4D">
        <w:rPr>
          <w:rFonts w:ascii="Times New Roman" w:hAnsi="Times New Roman" w:cs="Times New Roman"/>
          <w:b/>
          <w:sz w:val="24"/>
          <w:szCs w:val="24"/>
        </w:rPr>
        <w:t>Rescission</w:t>
      </w:r>
      <w:r w:rsidRPr="00E40F4D">
        <w:rPr>
          <w:rFonts w:ascii="Times New Roman" w:hAnsi="Times New Roman" w:cs="Times New Roman"/>
          <w:b/>
          <w:sz w:val="24"/>
          <w:szCs w:val="24"/>
        </w:rPr>
        <w:br/>
      </w:r>
      <w:r w:rsidRPr="00E40F4D">
        <w:rPr>
          <w:rFonts w:ascii="Times New Roman" w:hAnsi="Times New Roman" w:cs="Times New Roman"/>
          <w:sz w:val="24"/>
          <w:szCs w:val="24"/>
        </w:rPr>
        <w:t xml:space="preserve">Rescission of the contract is a remedy that allows the non-breaching party to cancel his or her </w:t>
      </w:r>
      <w:r w:rsidRPr="00E40F4D">
        <w:rPr>
          <w:rFonts w:ascii="Times New Roman" w:hAnsi="Times New Roman" w:cs="Times New Roman"/>
          <w:sz w:val="24"/>
          <w:szCs w:val="24"/>
        </w:rPr>
        <w:lastRenderedPageBreak/>
        <w:t>responsibilities under the contract. This remedy might be available when the contract was based on fraud or a mistake by one or both of the parties. It is also available if both parties prefer to cancel the contract and return any money that had been advanc</w:t>
      </w:r>
      <w:r>
        <w:rPr>
          <w:rFonts w:ascii="Times New Roman" w:hAnsi="Times New Roman" w:cs="Times New Roman"/>
          <w:sz w:val="24"/>
          <w:szCs w:val="24"/>
        </w:rPr>
        <w:t xml:space="preserve">ed as part of the contract. </w:t>
      </w:r>
      <w:r>
        <w:rPr>
          <w:rFonts w:ascii="Times New Roman" w:hAnsi="Times New Roman" w:cs="Times New Roman"/>
          <w:sz w:val="24"/>
          <w:szCs w:val="24"/>
        </w:rPr>
        <w:br/>
      </w:r>
      <w:r w:rsidRPr="00E40F4D">
        <w:rPr>
          <w:rFonts w:ascii="Times New Roman" w:hAnsi="Times New Roman" w:cs="Times New Roman"/>
          <w:b/>
          <w:sz w:val="24"/>
          <w:szCs w:val="24"/>
        </w:rPr>
        <w:t xml:space="preserve">Reformation </w:t>
      </w:r>
      <w:r w:rsidRPr="00E40F4D">
        <w:rPr>
          <w:rFonts w:ascii="Times New Roman" w:hAnsi="Times New Roman" w:cs="Times New Roman"/>
          <w:b/>
          <w:sz w:val="24"/>
          <w:szCs w:val="24"/>
        </w:rPr>
        <w:br/>
      </w:r>
      <w:r w:rsidRPr="00E40F4D">
        <w:rPr>
          <w:rFonts w:ascii="Times New Roman" w:hAnsi="Times New Roman" w:cs="Times New Roman"/>
          <w:sz w:val="24"/>
          <w:szCs w:val="24"/>
        </w:rPr>
        <w:t xml:space="preserve">Reformation allows two parties to modify a contract so that it more accurately reflects what the parties intend. This remedy requires that the contract be valid. It may be available when one of the parties had a mistaken understanding about a material term of the contract. </w:t>
      </w:r>
      <w:r w:rsidRPr="00E40F4D">
        <w:rPr>
          <w:rFonts w:ascii="Times New Roman" w:hAnsi="Times New Roman" w:cs="Times New Roman"/>
          <w:sz w:val="24"/>
          <w:szCs w:val="24"/>
        </w:rPr>
        <w:br/>
      </w:r>
    </w:p>
    <w:p w:rsidR="0051025A" w:rsidRPr="0051025A" w:rsidRDefault="00E40F4D" w:rsidP="0051025A">
      <w:pPr>
        <w:spacing w:line="480" w:lineRule="auto"/>
        <w:rPr>
          <w:rFonts w:ascii="Times New Roman" w:hAnsi="Times New Roman" w:cs="Times New Roman"/>
          <w:sz w:val="24"/>
          <w:szCs w:val="24"/>
        </w:rPr>
      </w:pPr>
      <w:r w:rsidRPr="00E40F4D">
        <w:rPr>
          <w:rFonts w:ascii="Times New Roman" w:hAnsi="Times New Roman" w:cs="Times New Roman"/>
          <w:b/>
          <w:sz w:val="24"/>
          <w:szCs w:val="24"/>
          <w:u w:val="single"/>
        </w:rPr>
        <w:t>Legal Remedies</w:t>
      </w:r>
      <w:r w:rsidRPr="00E40F4D">
        <w:rPr>
          <w:rFonts w:ascii="Times New Roman" w:hAnsi="Times New Roman" w:cs="Times New Roman"/>
          <w:sz w:val="24"/>
          <w:szCs w:val="24"/>
        </w:rPr>
        <w:br/>
        <w:t>Legal remedies often take the form of monetary damages that are awarded to help make the innocent party whole.</w:t>
      </w:r>
      <w:r w:rsidR="0051025A" w:rsidRPr="004B03EF">
        <w:rPr>
          <w:rFonts w:ascii="Times New Roman" w:hAnsi="Times New Roman" w:cs="Times New Roman"/>
        </w:rPr>
        <w:t xml:space="preserve"> The purpose of damages is to put the claimant party into the financial point they were in prior to entering the contract that caused the problem. It is a monetary sum set by the court to reimburse the claimant. Therefore the innocent party must show that they have suffered actual loss, if this can’t be proved then they will only be entitled to nominal damages. To award the claimant for damages, the court has to think about two things:</w:t>
      </w:r>
    </w:p>
    <w:p w:rsidR="0051025A" w:rsidRPr="004B03EF" w:rsidRDefault="0051025A" w:rsidP="0051025A">
      <w:pPr>
        <w:pStyle w:val="NormalWeb"/>
        <w:spacing w:before="0" w:beforeAutospacing="0" w:after="240" w:afterAutospacing="0" w:line="480" w:lineRule="auto"/>
      </w:pPr>
      <w:r w:rsidRPr="0051025A">
        <w:rPr>
          <w:u w:val="single"/>
        </w:rPr>
        <w:t xml:space="preserve">Remoteness </w:t>
      </w:r>
      <w:r w:rsidRPr="004B03EF">
        <w:t>– for example the consequence of the breach is the defendant legally responsible and</w:t>
      </w:r>
    </w:p>
    <w:p w:rsidR="0051025A" w:rsidRPr="004B03EF" w:rsidRDefault="0051025A" w:rsidP="0051025A">
      <w:pPr>
        <w:pStyle w:val="NormalWeb"/>
        <w:spacing w:before="0" w:beforeAutospacing="0" w:after="240" w:afterAutospacing="0" w:line="480" w:lineRule="auto"/>
      </w:pPr>
      <w:r w:rsidRPr="0051025A">
        <w:rPr>
          <w:u w:val="single"/>
        </w:rPr>
        <w:t>Measure of Damages</w:t>
      </w:r>
      <w:r w:rsidRPr="004B03EF">
        <w:t xml:space="preserve"> – the damages are evaluated in monetary terms.</w:t>
      </w:r>
    </w:p>
    <w:p w:rsidR="0051025A" w:rsidRDefault="0051025A" w:rsidP="0051025A">
      <w:pPr>
        <w:pStyle w:val="NormalWeb"/>
        <w:spacing w:before="0" w:beforeAutospacing="0" w:after="240" w:afterAutospacing="0" w:line="480" w:lineRule="auto"/>
      </w:pPr>
      <w:r w:rsidRPr="004B03EF">
        <w:t xml:space="preserve">The case of </w:t>
      </w:r>
      <w:hyperlink r:id="rId15" w:history="1">
        <w:r w:rsidRPr="00893D17">
          <w:rPr>
            <w:rStyle w:val="Hyperlink"/>
            <w:b/>
            <w:i/>
            <w:color w:val="auto"/>
            <w:u w:val="none"/>
          </w:rPr>
          <w:t>Hadley v Baxendale</w:t>
        </w:r>
      </w:hyperlink>
      <w:r w:rsidR="00893D17">
        <w:rPr>
          <w:rStyle w:val="FootnoteReference"/>
        </w:rPr>
        <w:footnoteReference w:id="7"/>
      </w:r>
      <w:r w:rsidRPr="004B03EF">
        <w:t xml:space="preserve"> established the rule of Remoteness of loss. The court came up with the principle that where one party is in breach of contract, the claimant is to receive damages which can be considered to come from the breach of contract itself. There are two types of loss for which damages may be recovered, what comes naturally and what the parties can </w:t>
      </w:r>
      <w:r w:rsidRPr="004B03EF">
        <w:lastRenderedPageBreak/>
        <w:t xml:space="preserve">foresee when the contract was made as the likely result of breach. As a result of the first rule in </w:t>
      </w:r>
      <w:r w:rsidRPr="00893D17">
        <w:rPr>
          <w:b/>
          <w:i/>
        </w:rPr>
        <w:t>Hadley v Baxendale</w:t>
      </w:r>
      <w:r w:rsidRPr="004B03EF">
        <w:t xml:space="preserve"> the claimant is considered to expect the result of the breach, whether they were expected or not. For the second part of the rule, the claimant can only be held for unusual consequences. Where the party has knowledge that the abnormal consequence will follow where it is reasonably ought to. Damages are not given for non financial </w:t>
      </w:r>
      <w:r w:rsidR="00893D17" w:rsidRPr="004B03EF">
        <w:t>loss;</w:t>
      </w:r>
      <w:r w:rsidRPr="004B03EF">
        <w:t xml:space="preserve"> they are awarded for losses where the contracts purpose is to promote enjoyment. The innocent party must take reasonable steps to ease the loss for example by trying to find an alternative measure of the contract.</w:t>
      </w:r>
    </w:p>
    <w:p w:rsidR="005F7E40" w:rsidRDefault="004625AC" w:rsidP="0051025A">
      <w:pPr>
        <w:pStyle w:val="NormalWeb"/>
        <w:spacing w:before="0" w:beforeAutospacing="0" w:after="240" w:afterAutospacing="0" w:line="480" w:lineRule="auto"/>
      </w:pPr>
      <w:r>
        <w:t xml:space="preserve">Under </w:t>
      </w:r>
      <w:r w:rsidRPr="005F7E40">
        <w:rPr>
          <w:b/>
        </w:rPr>
        <w:t>mitigation</w:t>
      </w:r>
      <w:r>
        <w:t>, the law does not allow a plaintiff to recover damages to compensate him for loss which would not have been suffered if he had taken reasonable steps to mitigate his loss.</w:t>
      </w:r>
      <w:r>
        <w:rPr>
          <w:rStyle w:val="FootnoteReference"/>
        </w:rPr>
        <w:footnoteReference w:id="8"/>
      </w:r>
      <w:r>
        <w:t xml:space="preserve"> Whether the plaintiff has failed to take a reasonable opportunity of mitigation is a question of fact dependent upon the particular circumstances of each case and the burden of proving such failure rests upon the defendant. It has thus been held</w:t>
      </w:r>
      <w:r w:rsidR="00E96F52">
        <w:t xml:space="preserve"> in the case of </w:t>
      </w:r>
      <w:r w:rsidR="00E96F52">
        <w:rPr>
          <w:rStyle w:val="FootnoteReference"/>
        </w:rPr>
        <w:footnoteReference w:id="9"/>
      </w:r>
      <w:r>
        <w:t xml:space="preserve"> that the master of a ship, upon the failure of the charterer to provide a cargo in accordance with the contract, should normally accept cargo from other persons at the best freight obtainable. </w:t>
      </w:r>
    </w:p>
    <w:p w:rsidR="004625AC" w:rsidRDefault="004625AC" w:rsidP="0051025A">
      <w:pPr>
        <w:pStyle w:val="NormalWeb"/>
        <w:spacing w:before="0" w:beforeAutospacing="0" w:after="240" w:afterAutospacing="0" w:line="480" w:lineRule="auto"/>
      </w:pPr>
      <w:r>
        <w:t xml:space="preserve">In </w:t>
      </w:r>
      <w:r>
        <w:rPr>
          <w:b/>
          <w:i/>
        </w:rPr>
        <w:t>Brace v Calder,</w:t>
      </w:r>
      <w:r>
        <w:rPr>
          <w:rStyle w:val="FootnoteReference"/>
          <w:b/>
          <w:i/>
        </w:rPr>
        <w:footnoteReference w:id="10"/>
      </w:r>
      <w:r>
        <w:t>the defendants, a partnership consisting of four members, agreed to employ the plaintiff as manager of a branch of the business for two years. Five months later the partnership was dissolved by the retirement of the two members</w:t>
      </w:r>
      <w:r w:rsidR="005F7E40">
        <w:t xml:space="preserve">, and the business was transferred to the other two, who offered to employ the plaintiff on the same terms as before. He rejected the offer. The dissolution of the partnership constituted an in law a wrongful dismissal </w:t>
      </w:r>
      <w:r w:rsidR="005F7E40">
        <w:lastRenderedPageBreak/>
        <w:t>of the plaintiff, and in his action for breach of contract he sought to recover the salary that he would have received had he served for the whole period of two years. It was held, however, that he was entitled only to nominal damages, since it was unreasonable to have rejected the offer of continued employment.</w:t>
      </w:r>
    </w:p>
    <w:p w:rsidR="00D74DFD" w:rsidRDefault="005F7E40" w:rsidP="0051025A">
      <w:pPr>
        <w:pStyle w:val="NormalWeb"/>
        <w:spacing w:before="0" w:beforeAutospacing="0" w:after="240" w:afterAutospacing="0" w:line="480" w:lineRule="auto"/>
      </w:pPr>
      <w:r>
        <w:t xml:space="preserve">But the burden which lies on the defendant, of proving that the plaintiff has failed in his duty of mitigation, is by no means a light one, for this is a case where a party already in breach of contract demands positive action from one, who is often innocent of blame. This may be illustrated from </w:t>
      </w:r>
      <w:r w:rsidRPr="00E96F52">
        <w:rPr>
          <w:b/>
          <w:i/>
        </w:rPr>
        <w:t>Pilkington v Wood</w:t>
      </w:r>
      <w:r>
        <w:rPr>
          <w:rStyle w:val="FootnoteReference"/>
        </w:rPr>
        <w:footnoteReference w:id="11"/>
      </w:r>
      <w:r>
        <w:t>. It was there argued by the defendants solicitor that the plaintiff, the purchaser of the Hampshire house, should have mitigated his loss by taking proceedings against the vendor for having conveyed a defective title. The proposed action</w:t>
      </w:r>
      <w:r w:rsidR="00E96F52">
        <w:t>,</w:t>
      </w:r>
      <w:r>
        <w:t xml:space="preserve"> however</w:t>
      </w:r>
      <w:r w:rsidR="00E96F52">
        <w:t>,</w:t>
      </w:r>
      <w:r>
        <w:t xml:space="preserve"> would have </w:t>
      </w:r>
      <w:r w:rsidR="00E96F52">
        <w:t>involved complicated litigation upon a somewhat difficult provision in the Law of Property Act 1925, and it was far from clear that it would have succeeded. Harman J therefore held that the purchaser was under no duty to embark upon such a hazardous venture, merely ‘to protect his solicitor from the consequences of his own carelessness’.</w:t>
      </w:r>
    </w:p>
    <w:p w:rsidR="00792A75" w:rsidRDefault="00D74DFD" w:rsidP="005D1B32">
      <w:pPr>
        <w:pStyle w:val="NormalWeb"/>
        <w:spacing w:before="0" w:beforeAutospacing="0" w:after="240" w:afterAutospacing="0" w:line="480" w:lineRule="auto"/>
      </w:pPr>
      <w:r>
        <w:t xml:space="preserve">In relation to the computation of damages, mitigation is substantially an aspect of remoteness, since it is within the contemplation of the parties that the plaintiff will take reasonable steps to mitigate his loss. This interrelationship was emphasized by Oliver J in </w:t>
      </w:r>
      <w:r>
        <w:rPr>
          <w:b/>
          <w:i/>
        </w:rPr>
        <w:t>Radford v De Froberville</w:t>
      </w:r>
      <w:r>
        <w:rPr>
          <w:rStyle w:val="FootnoteReference"/>
          <w:b/>
          <w:i/>
        </w:rPr>
        <w:footnoteReference w:id="12"/>
      </w:r>
      <w:r>
        <w:rPr>
          <w:b/>
          <w:i/>
        </w:rPr>
        <w:t xml:space="preserve">. </w:t>
      </w:r>
      <w:r>
        <w:t xml:space="preserve">The plaintiff owned a house which stood in a large garden. The house was divided into flats, which were let to tenants, who had rights in common to use the garden. The plaintiff obtained planning permission to build a house on a plot of land in the garden and sold the plot to the defendant. The defendant contracted to develop the plot and to build a brick wall of stated </w:t>
      </w:r>
      <w:r>
        <w:lastRenderedPageBreak/>
        <w:t xml:space="preserve">height and thickness on the plot as a boundary between the plot and the area retained by the plaintiff. The defendant failed to build the wall or develop the plot and sold the plot to a third party, who </w:t>
      </w:r>
      <w:r w:rsidR="00792A75">
        <w:t>covenanted to perform the covenants in the transfer from the plaintiff to the defendant but failed to do so.</w:t>
      </w:r>
    </w:p>
    <w:p w:rsidR="00792A75" w:rsidRDefault="00792A75" w:rsidP="005D1B32">
      <w:pPr>
        <w:pStyle w:val="NormalWeb"/>
        <w:spacing w:before="0" w:beforeAutospacing="0" w:after="240" w:afterAutospacing="0" w:line="480" w:lineRule="auto"/>
      </w:pPr>
      <w:r>
        <w:t>The plaintiff brought an action for damages and the judgment of Oliver J was directed to the specific issue of the defendant’s failure to build the wall. The defendant argued that the appropriate test was the difference in value between the land with the wall built and the land without.  Since the evidence was that the absence of the wall made no difference to the rentable value of the flats, this would have led to a nominal award. Alternatively it was argued that the plaintiff should mitigate his loss by building the cheapest reasonable boundary, namely a prefabricated fence.</w:t>
      </w:r>
    </w:p>
    <w:p w:rsidR="00792A75" w:rsidRPr="00D74DFD" w:rsidRDefault="00792A75" w:rsidP="005D1B32">
      <w:pPr>
        <w:pStyle w:val="NormalWeb"/>
        <w:spacing w:before="0" w:beforeAutospacing="0" w:after="240" w:afterAutospacing="0" w:line="480" w:lineRule="auto"/>
      </w:pPr>
      <w:r>
        <w:t xml:space="preserve">Oliver J rejected these contentions. The firs might have been </w:t>
      </w:r>
      <w:r w:rsidR="00DF67B0">
        <w:t>appropriate</w:t>
      </w:r>
      <w:r>
        <w:t xml:space="preserve"> if the plaintiff had no intention of building a wall but the plaintiff’s evidence was that he intended to build a wall on his side of the boundary as nearly as possible</w:t>
      </w:r>
      <w:r w:rsidR="00DF67B0">
        <w:t xml:space="preserve"> identical with that which the defendant had contracted to build. On that footing the plaintiff was suffering a genuine loss and the cost of rebuilding was the proper measure of that loss.</w:t>
      </w:r>
    </w:p>
    <w:p w:rsidR="00893D17" w:rsidRPr="005D1B32" w:rsidRDefault="0051025A" w:rsidP="005D1B32">
      <w:pPr>
        <w:pStyle w:val="NormalWeb"/>
        <w:spacing w:before="0" w:beforeAutospacing="0" w:after="240" w:afterAutospacing="0" w:line="480" w:lineRule="auto"/>
      </w:pPr>
      <w:r w:rsidRPr="005D1B32">
        <w:rPr>
          <w:b/>
        </w:rPr>
        <w:t>Liquidated damage clauses</w:t>
      </w:r>
      <w:r w:rsidRPr="004B03EF">
        <w:t xml:space="preserve"> are where a contract includes a condition that damages of a certain sum will be payable – the courts will acknowledge the certain sum to be a measure of damages. Even if the claimant receives less than the actual loss coming from the breach, the courts can still uphold a liquidated damages clause. But a court will ignore an amount for damages if it is classed as a penalty clause; this is where an am</w:t>
      </w:r>
      <w:r w:rsidR="00893D17">
        <w:t>ount which is not a genuine pre-</w:t>
      </w:r>
      <w:r w:rsidRPr="004B03EF">
        <w:t xml:space="preserve">estimate of </w:t>
      </w:r>
      <w:r w:rsidR="00CA6299">
        <w:t xml:space="preserve">the </w:t>
      </w:r>
      <w:r w:rsidRPr="004B03EF">
        <w:lastRenderedPageBreak/>
        <w:t>expected loss on the breached contract.</w:t>
      </w:r>
      <w:r w:rsidR="005D1B32">
        <w:t xml:space="preserve"> </w:t>
      </w:r>
      <w:r w:rsidR="00893D17" w:rsidRPr="00EC5377">
        <w:rPr>
          <w:color w:val="212121"/>
        </w:rPr>
        <w:t xml:space="preserve">The leading case of </w:t>
      </w:r>
      <w:r w:rsidR="00893D17" w:rsidRPr="00EC5377">
        <w:rPr>
          <w:rStyle w:val="Emphasis"/>
          <w:color w:val="212121"/>
        </w:rPr>
        <w:t>Dunlop Pneumatic Tyres</w:t>
      </w:r>
      <w:r w:rsidR="00AE6804">
        <w:rPr>
          <w:rStyle w:val="FootnoteReference"/>
          <w:i/>
          <w:iCs/>
          <w:color w:val="212121"/>
        </w:rPr>
        <w:footnoteReference w:id="13"/>
      </w:r>
      <w:r w:rsidR="00893D17" w:rsidRPr="00EC5377">
        <w:rPr>
          <w:rStyle w:val="Emphasis"/>
          <w:color w:val="212121"/>
        </w:rPr>
        <w:t xml:space="preserve"> </w:t>
      </w:r>
      <w:r w:rsidR="00893D17" w:rsidRPr="00EC5377">
        <w:rPr>
          <w:color w:val="212121"/>
        </w:rPr>
        <w:t>establishes the tests to distinguish penalties from liquidated damages:</w:t>
      </w:r>
    </w:p>
    <w:p w:rsidR="00893D17" w:rsidRPr="00EC5377" w:rsidRDefault="00893D17" w:rsidP="00893D17">
      <w:pPr>
        <w:numPr>
          <w:ilvl w:val="0"/>
          <w:numId w:val="2"/>
        </w:numPr>
        <w:spacing w:after="0" w:line="480" w:lineRule="auto"/>
        <w:ind w:left="288"/>
        <w:rPr>
          <w:rFonts w:ascii="Times New Roman" w:hAnsi="Times New Roman" w:cs="Times New Roman"/>
          <w:color w:val="212121"/>
          <w:sz w:val="24"/>
          <w:szCs w:val="24"/>
        </w:rPr>
      </w:pPr>
      <w:r w:rsidRPr="00EC5377">
        <w:rPr>
          <w:rFonts w:ascii="Times New Roman" w:hAnsi="Times New Roman" w:cs="Times New Roman"/>
          <w:color w:val="212121"/>
          <w:sz w:val="24"/>
          <w:szCs w:val="24"/>
        </w:rPr>
        <w:t>A clause will be construed as a penalty clause if the sum specified is "extravagant and unconscionable" in comparison with the greatest loss that could possibly have been proved as a result of the breach.</w:t>
      </w:r>
    </w:p>
    <w:p w:rsidR="00893D17" w:rsidRPr="00EC5377" w:rsidRDefault="00893D17" w:rsidP="00893D17">
      <w:pPr>
        <w:numPr>
          <w:ilvl w:val="0"/>
          <w:numId w:val="2"/>
        </w:numPr>
        <w:spacing w:after="0" w:line="480" w:lineRule="auto"/>
        <w:ind w:left="288"/>
        <w:rPr>
          <w:rFonts w:ascii="Times New Roman" w:hAnsi="Times New Roman" w:cs="Times New Roman"/>
          <w:color w:val="212121"/>
          <w:sz w:val="24"/>
          <w:szCs w:val="24"/>
        </w:rPr>
      </w:pPr>
      <w:r w:rsidRPr="00EC5377">
        <w:rPr>
          <w:rFonts w:ascii="Times New Roman" w:hAnsi="Times New Roman" w:cs="Times New Roman"/>
          <w:color w:val="212121"/>
          <w:sz w:val="24"/>
          <w:szCs w:val="24"/>
        </w:rPr>
        <w:t>It is likely to be a penalty if the breach of contract consists of not paying a sum of money and the sum stipulated as damages is greater than the sum which ought to have been paid.</w:t>
      </w:r>
    </w:p>
    <w:p w:rsidR="00893D17" w:rsidRPr="00EC5377" w:rsidRDefault="00893D17" w:rsidP="00893D17">
      <w:pPr>
        <w:numPr>
          <w:ilvl w:val="0"/>
          <w:numId w:val="2"/>
        </w:numPr>
        <w:spacing w:after="0" w:line="480" w:lineRule="auto"/>
        <w:ind w:left="288"/>
        <w:rPr>
          <w:rFonts w:ascii="Times New Roman" w:hAnsi="Times New Roman" w:cs="Times New Roman"/>
          <w:color w:val="212121"/>
          <w:sz w:val="24"/>
          <w:szCs w:val="24"/>
        </w:rPr>
      </w:pPr>
      <w:r w:rsidRPr="00EC5377">
        <w:rPr>
          <w:rFonts w:ascii="Times New Roman" w:hAnsi="Times New Roman" w:cs="Times New Roman"/>
          <w:color w:val="212121"/>
          <w:sz w:val="24"/>
          <w:szCs w:val="24"/>
        </w:rPr>
        <w:t>There is a presumption that if the same sum is stated to apply to different types of breach of contract, some of which are serious and others not, it is likely to be a penalty clause.</w:t>
      </w:r>
    </w:p>
    <w:p w:rsidR="0051025A" w:rsidRPr="00893D17" w:rsidRDefault="00893D17" w:rsidP="00893D17">
      <w:pPr>
        <w:numPr>
          <w:ilvl w:val="0"/>
          <w:numId w:val="2"/>
        </w:numPr>
        <w:spacing w:after="0" w:line="480" w:lineRule="auto"/>
        <w:ind w:left="288"/>
        <w:rPr>
          <w:rFonts w:ascii="Times New Roman" w:hAnsi="Times New Roman" w:cs="Times New Roman"/>
          <w:color w:val="212121"/>
          <w:sz w:val="24"/>
          <w:szCs w:val="24"/>
        </w:rPr>
      </w:pPr>
      <w:r w:rsidRPr="00EC5377">
        <w:rPr>
          <w:rFonts w:ascii="Times New Roman" w:hAnsi="Times New Roman" w:cs="Times New Roman"/>
          <w:color w:val="212121"/>
          <w:sz w:val="24"/>
          <w:szCs w:val="24"/>
        </w:rPr>
        <w:t>It is not a bar to the operation of a liquidated damages clause that a precise pre-estimation is impossible.</w:t>
      </w:r>
    </w:p>
    <w:p w:rsidR="0051025A" w:rsidRDefault="0051025A" w:rsidP="0051025A">
      <w:pPr>
        <w:spacing w:line="480" w:lineRule="auto"/>
        <w:rPr>
          <w:rFonts w:ascii="Times New Roman" w:hAnsi="Times New Roman" w:cs="Times New Roman"/>
          <w:color w:val="212529"/>
          <w:sz w:val="24"/>
        </w:rPr>
      </w:pPr>
      <w:r w:rsidRPr="005D1B32">
        <w:rPr>
          <w:rFonts w:ascii="Times New Roman" w:hAnsi="Times New Roman" w:cs="Times New Roman"/>
          <w:b/>
          <w:color w:val="212529"/>
          <w:sz w:val="24"/>
        </w:rPr>
        <w:t>Reliance loss</w:t>
      </w:r>
      <w:r w:rsidRPr="00A63BFB">
        <w:rPr>
          <w:rFonts w:ascii="Times New Roman" w:hAnsi="Times New Roman" w:cs="Times New Roman"/>
          <w:color w:val="212529"/>
          <w:sz w:val="24"/>
        </w:rPr>
        <w:t xml:space="preserve"> can occur when the claimant has suffered a loss in expenditure due to the contract. The purpose of this remedy is the same as expectation loss, as it is designed to put the claimant in the previous financial position they would have been prior to entering the contract. Reliance loss can be claimed as expectation loss cannot be recovered.</w:t>
      </w:r>
    </w:p>
    <w:p w:rsidR="001E68D3" w:rsidRDefault="00792A75" w:rsidP="00B238E0">
      <w:pPr>
        <w:spacing w:line="480" w:lineRule="auto"/>
        <w:rPr>
          <w:rFonts w:ascii="Times New Roman" w:hAnsi="Times New Roman" w:cs="Times New Roman"/>
          <w:sz w:val="24"/>
        </w:rPr>
      </w:pPr>
      <w:r w:rsidRPr="00792A75">
        <w:rPr>
          <w:rFonts w:ascii="Times New Roman" w:hAnsi="Times New Roman" w:cs="Times New Roman"/>
          <w:sz w:val="24"/>
        </w:rPr>
        <w:t>From the remedies it can be seen that damages is the main remedy to use when an innocent party faces a contract being breached. Equitable remedies can be sought where damages will be inadequate to reimburse the claimant for their loss. The method in which the loss is calculated is for the claimant to decide and prove to the courts. Instead of going though court seeking damages parties can also use their own methods like retention of title clauses, enforcement of security, withholding payments and rights against the goods themselves.</w:t>
      </w:r>
      <w:r w:rsidR="001E68D3">
        <w:rPr>
          <w:rFonts w:ascii="Times New Roman" w:hAnsi="Times New Roman" w:cs="Times New Roman"/>
          <w:sz w:val="24"/>
        </w:rPr>
        <w:t xml:space="preserve"> </w:t>
      </w:r>
    </w:p>
    <w:p w:rsidR="001E68D3" w:rsidRDefault="001E68D3" w:rsidP="00B238E0">
      <w:pPr>
        <w:spacing w:line="480" w:lineRule="auto"/>
        <w:rPr>
          <w:rFonts w:ascii="Times New Roman" w:hAnsi="Times New Roman" w:cs="Times New Roman"/>
          <w:b/>
          <w:sz w:val="24"/>
          <w:u w:val="single"/>
        </w:rPr>
      </w:pPr>
      <w:r>
        <w:rPr>
          <w:rFonts w:ascii="Times New Roman" w:hAnsi="Times New Roman" w:cs="Times New Roman"/>
          <w:b/>
          <w:sz w:val="24"/>
          <w:u w:val="single"/>
        </w:rPr>
        <w:lastRenderedPageBreak/>
        <w:t>BIBLIOGRAPHY</w:t>
      </w:r>
    </w:p>
    <w:p w:rsidR="001E68D3" w:rsidRPr="001E68D3" w:rsidRDefault="001E68D3" w:rsidP="001E68D3">
      <w:pPr>
        <w:pStyle w:val="ListParagraph"/>
        <w:numPr>
          <w:ilvl w:val="0"/>
          <w:numId w:val="3"/>
        </w:numPr>
        <w:spacing w:line="480" w:lineRule="auto"/>
        <w:rPr>
          <w:rFonts w:ascii="Times New Roman" w:hAnsi="Times New Roman" w:cs="Times New Roman"/>
          <w:sz w:val="24"/>
        </w:rPr>
      </w:pPr>
      <w:r w:rsidRPr="001E68D3">
        <w:rPr>
          <w:rFonts w:ascii="Times New Roman" w:hAnsi="Times New Roman" w:cs="Times New Roman"/>
          <w:sz w:val="24"/>
        </w:rPr>
        <w:t xml:space="preserve">Cheshire, Fifoot and Furmston, </w:t>
      </w:r>
      <w:r w:rsidRPr="001127B2">
        <w:rPr>
          <w:rFonts w:ascii="Times New Roman" w:hAnsi="Times New Roman" w:cs="Times New Roman"/>
          <w:i/>
          <w:sz w:val="24"/>
        </w:rPr>
        <w:t>Law of Contract (16</w:t>
      </w:r>
      <w:r w:rsidRPr="001127B2">
        <w:rPr>
          <w:rFonts w:ascii="Times New Roman" w:hAnsi="Times New Roman" w:cs="Times New Roman"/>
          <w:i/>
          <w:sz w:val="24"/>
          <w:vertAlign w:val="superscript"/>
        </w:rPr>
        <w:t>th</w:t>
      </w:r>
      <w:r w:rsidRPr="001127B2">
        <w:rPr>
          <w:rFonts w:ascii="Times New Roman" w:hAnsi="Times New Roman" w:cs="Times New Roman"/>
          <w:i/>
          <w:sz w:val="24"/>
        </w:rPr>
        <w:t xml:space="preserve"> edition)</w:t>
      </w:r>
      <w:r w:rsidRPr="001E68D3">
        <w:rPr>
          <w:rFonts w:ascii="Times New Roman" w:hAnsi="Times New Roman" w:cs="Times New Roman"/>
          <w:sz w:val="24"/>
        </w:rPr>
        <w:t xml:space="preserve"> (Oxford University Press 2012)</w:t>
      </w:r>
    </w:p>
    <w:p w:rsidR="001E68D3" w:rsidRPr="001E68D3" w:rsidRDefault="001E68D3" w:rsidP="001E68D3">
      <w:pPr>
        <w:pStyle w:val="ListParagraph"/>
        <w:numPr>
          <w:ilvl w:val="0"/>
          <w:numId w:val="3"/>
        </w:numPr>
        <w:spacing w:line="480" w:lineRule="auto"/>
        <w:rPr>
          <w:rFonts w:ascii="Times New Roman" w:hAnsi="Times New Roman" w:cs="Times New Roman"/>
          <w:sz w:val="24"/>
        </w:rPr>
      </w:pPr>
      <w:r w:rsidRPr="001E68D3">
        <w:rPr>
          <w:rFonts w:ascii="Times New Roman" w:hAnsi="Times New Roman" w:cs="Times New Roman"/>
          <w:sz w:val="24"/>
        </w:rPr>
        <w:t xml:space="preserve">Sagay, </w:t>
      </w:r>
      <w:r w:rsidRPr="001127B2">
        <w:rPr>
          <w:rFonts w:ascii="Times New Roman" w:hAnsi="Times New Roman" w:cs="Times New Roman"/>
          <w:i/>
          <w:sz w:val="24"/>
        </w:rPr>
        <w:t>Nigerian Law of Contract (2</w:t>
      </w:r>
      <w:r w:rsidRPr="001127B2">
        <w:rPr>
          <w:rFonts w:ascii="Times New Roman" w:hAnsi="Times New Roman" w:cs="Times New Roman"/>
          <w:i/>
          <w:sz w:val="24"/>
          <w:vertAlign w:val="superscript"/>
        </w:rPr>
        <w:t>nd</w:t>
      </w:r>
      <w:r w:rsidRPr="001127B2">
        <w:rPr>
          <w:rFonts w:ascii="Times New Roman" w:hAnsi="Times New Roman" w:cs="Times New Roman"/>
          <w:i/>
          <w:sz w:val="24"/>
        </w:rPr>
        <w:t xml:space="preserve"> edition)</w:t>
      </w:r>
      <w:r w:rsidRPr="001E68D3">
        <w:rPr>
          <w:rFonts w:ascii="Times New Roman" w:hAnsi="Times New Roman" w:cs="Times New Roman"/>
          <w:sz w:val="24"/>
        </w:rPr>
        <w:t xml:space="preserve"> (Spectrum Books Limited 2009) </w:t>
      </w:r>
    </w:p>
    <w:p w:rsidR="001E68D3" w:rsidRDefault="001127B2" w:rsidP="00B238E0">
      <w:pPr>
        <w:spacing w:line="480" w:lineRule="auto"/>
        <w:rPr>
          <w:rFonts w:ascii="Times New Roman" w:hAnsi="Times New Roman" w:cs="Times New Roman"/>
          <w:b/>
          <w:sz w:val="24"/>
          <w:u w:val="single"/>
        </w:rPr>
      </w:pPr>
      <w:r>
        <w:rPr>
          <w:rFonts w:ascii="Times New Roman" w:hAnsi="Times New Roman" w:cs="Times New Roman"/>
          <w:b/>
          <w:sz w:val="24"/>
          <w:u w:val="single"/>
        </w:rPr>
        <w:t>REFRENCED WEBSITES</w:t>
      </w:r>
    </w:p>
    <w:tbl>
      <w:tblPr>
        <w:tblStyle w:val="MediumGrid3"/>
        <w:tblW w:w="0" w:type="auto"/>
        <w:tblLook w:val="04A0"/>
      </w:tblPr>
      <w:tblGrid>
        <w:gridCol w:w="6487"/>
        <w:gridCol w:w="1559"/>
        <w:gridCol w:w="1530"/>
      </w:tblGrid>
      <w:tr w:rsidR="001127B2" w:rsidTr="001127B2">
        <w:trPr>
          <w:cnfStyle w:val="100000000000"/>
        </w:trPr>
        <w:tc>
          <w:tcPr>
            <w:cnfStyle w:val="001000000000"/>
            <w:tcW w:w="6487" w:type="dxa"/>
          </w:tcPr>
          <w:p w:rsidR="001127B2" w:rsidRDefault="001127B2" w:rsidP="00B238E0">
            <w:pPr>
              <w:spacing w:line="480" w:lineRule="auto"/>
              <w:rPr>
                <w:rFonts w:ascii="Times New Roman" w:hAnsi="Times New Roman" w:cs="Times New Roman"/>
                <w:sz w:val="24"/>
              </w:rPr>
            </w:pPr>
            <w:r>
              <w:rPr>
                <w:rFonts w:ascii="Times New Roman" w:hAnsi="Times New Roman" w:cs="Times New Roman"/>
                <w:sz w:val="24"/>
              </w:rPr>
              <w:t>WEBSITES</w:t>
            </w:r>
          </w:p>
        </w:tc>
        <w:tc>
          <w:tcPr>
            <w:tcW w:w="1559" w:type="dxa"/>
          </w:tcPr>
          <w:p w:rsidR="001127B2" w:rsidRDefault="001127B2" w:rsidP="00B238E0">
            <w:pPr>
              <w:spacing w:line="480" w:lineRule="auto"/>
              <w:cnfStyle w:val="100000000000"/>
              <w:rPr>
                <w:rFonts w:ascii="Times New Roman" w:hAnsi="Times New Roman" w:cs="Times New Roman"/>
                <w:sz w:val="24"/>
              </w:rPr>
            </w:pPr>
            <w:r>
              <w:rPr>
                <w:rFonts w:ascii="Times New Roman" w:hAnsi="Times New Roman" w:cs="Times New Roman"/>
                <w:sz w:val="24"/>
              </w:rPr>
              <w:t>DATE</w:t>
            </w:r>
          </w:p>
        </w:tc>
        <w:tc>
          <w:tcPr>
            <w:tcW w:w="1530" w:type="dxa"/>
          </w:tcPr>
          <w:p w:rsidR="001127B2" w:rsidRDefault="001127B2" w:rsidP="00B238E0">
            <w:pPr>
              <w:spacing w:line="480" w:lineRule="auto"/>
              <w:cnfStyle w:val="100000000000"/>
              <w:rPr>
                <w:rFonts w:ascii="Times New Roman" w:hAnsi="Times New Roman" w:cs="Times New Roman"/>
                <w:sz w:val="24"/>
              </w:rPr>
            </w:pPr>
            <w:r>
              <w:rPr>
                <w:rFonts w:ascii="Times New Roman" w:hAnsi="Times New Roman" w:cs="Times New Roman"/>
                <w:sz w:val="24"/>
              </w:rPr>
              <w:t>TIMES</w:t>
            </w:r>
          </w:p>
        </w:tc>
      </w:tr>
      <w:tr w:rsidR="001127B2" w:rsidTr="001127B2">
        <w:trPr>
          <w:cnfStyle w:val="000000100000"/>
        </w:trPr>
        <w:tc>
          <w:tcPr>
            <w:cnfStyle w:val="001000000000"/>
            <w:tcW w:w="6487" w:type="dxa"/>
          </w:tcPr>
          <w:p w:rsidR="001127B2" w:rsidRPr="001127B2" w:rsidRDefault="00BC2128" w:rsidP="00B238E0">
            <w:pPr>
              <w:spacing w:line="480" w:lineRule="auto"/>
              <w:rPr>
                <w:rFonts w:ascii="Times New Roman" w:hAnsi="Times New Roman" w:cs="Times New Roman"/>
                <w:b w:val="0"/>
                <w:sz w:val="24"/>
              </w:rPr>
            </w:pPr>
            <w:hyperlink r:id="rId16" w:history="1">
              <w:r w:rsidRPr="00856F39">
                <w:rPr>
                  <w:rStyle w:val="Hyperlink"/>
                  <w:rFonts w:ascii="Times New Roman" w:hAnsi="Times New Roman" w:cs="Times New Roman"/>
                  <w:sz w:val="24"/>
                </w:rPr>
                <w:t>Https://www.lawteacher.net/free-law-essays/contract/breach-of-a-contract-contract-law-essay.php</w:t>
              </w:r>
            </w:hyperlink>
            <w:r>
              <w:rPr>
                <w:rFonts w:ascii="Times New Roman" w:hAnsi="Times New Roman" w:cs="Times New Roman"/>
                <w:b w:val="0"/>
                <w:sz w:val="24"/>
              </w:rPr>
              <w:t xml:space="preserve">. </w:t>
            </w:r>
          </w:p>
        </w:tc>
        <w:tc>
          <w:tcPr>
            <w:tcW w:w="1559" w:type="dxa"/>
          </w:tcPr>
          <w:p w:rsidR="001127B2" w:rsidRDefault="00B113A8" w:rsidP="00B238E0">
            <w:pPr>
              <w:spacing w:line="480" w:lineRule="auto"/>
              <w:cnfStyle w:val="000000100000"/>
              <w:rPr>
                <w:rFonts w:ascii="Times New Roman" w:hAnsi="Times New Roman" w:cs="Times New Roman"/>
                <w:sz w:val="24"/>
              </w:rPr>
            </w:pPr>
            <w:r>
              <w:rPr>
                <w:rFonts w:ascii="Times New Roman" w:hAnsi="Times New Roman" w:cs="Times New Roman"/>
                <w:sz w:val="24"/>
              </w:rPr>
              <w:t>05/05/2020</w:t>
            </w:r>
          </w:p>
        </w:tc>
        <w:tc>
          <w:tcPr>
            <w:tcW w:w="1530" w:type="dxa"/>
          </w:tcPr>
          <w:p w:rsidR="001127B2" w:rsidRDefault="00B113A8" w:rsidP="00B238E0">
            <w:pPr>
              <w:spacing w:line="480" w:lineRule="auto"/>
              <w:cnfStyle w:val="000000100000"/>
              <w:rPr>
                <w:rFonts w:ascii="Times New Roman" w:hAnsi="Times New Roman" w:cs="Times New Roman"/>
                <w:sz w:val="24"/>
              </w:rPr>
            </w:pPr>
            <w:r>
              <w:rPr>
                <w:rFonts w:ascii="Times New Roman" w:hAnsi="Times New Roman" w:cs="Times New Roman"/>
                <w:sz w:val="24"/>
              </w:rPr>
              <w:t>2:06am</w:t>
            </w:r>
          </w:p>
        </w:tc>
      </w:tr>
      <w:tr w:rsidR="001127B2" w:rsidTr="001127B2">
        <w:tc>
          <w:tcPr>
            <w:cnfStyle w:val="001000000000"/>
            <w:tcW w:w="6487" w:type="dxa"/>
          </w:tcPr>
          <w:p w:rsidR="001127B2" w:rsidRPr="00BC2128" w:rsidRDefault="00132DBC" w:rsidP="00B238E0">
            <w:pPr>
              <w:spacing w:line="480" w:lineRule="auto"/>
              <w:rPr>
                <w:rFonts w:ascii="Times New Roman" w:hAnsi="Times New Roman" w:cs="Times New Roman"/>
                <w:b w:val="0"/>
                <w:sz w:val="24"/>
              </w:rPr>
            </w:pPr>
            <w:hyperlink r:id="rId17" w:history="1">
              <w:r w:rsidRPr="00856F39">
                <w:rPr>
                  <w:rStyle w:val="Hyperlink"/>
                  <w:rFonts w:ascii="Times New Roman" w:hAnsi="Times New Roman" w:cs="Times New Roman"/>
                  <w:sz w:val="24"/>
                </w:rPr>
                <w:t>https://www.hg.org/legal-articles/remedies-for-a-breach-of-contract-20711</w:t>
              </w:r>
            </w:hyperlink>
            <w:r>
              <w:rPr>
                <w:rFonts w:ascii="Times New Roman" w:hAnsi="Times New Roman" w:cs="Times New Roman"/>
                <w:b w:val="0"/>
                <w:sz w:val="24"/>
              </w:rPr>
              <w:t xml:space="preserve"> </w:t>
            </w:r>
          </w:p>
        </w:tc>
        <w:tc>
          <w:tcPr>
            <w:tcW w:w="1559" w:type="dxa"/>
          </w:tcPr>
          <w:p w:rsidR="001127B2" w:rsidRDefault="00B113A8" w:rsidP="00B238E0">
            <w:pPr>
              <w:spacing w:line="480" w:lineRule="auto"/>
              <w:cnfStyle w:val="000000000000"/>
              <w:rPr>
                <w:rFonts w:ascii="Times New Roman" w:hAnsi="Times New Roman" w:cs="Times New Roman"/>
                <w:sz w:val="24"/>
              </w:rPr>
            </w:pPr>
            <w:r>
              <w:rPr>
                <w:rFonts w:ascii="Times New Roman" w:hAnsi="Times New Roman" w:cs="Times New Roman"/>
                <w:sz w:val="24"/>
              </w:rPr>
              <w:t>05/05/2020</w:t>
            </w:r>
          </w:p>
        </w:tc>
        <w:tc>
          <w:tcPr>
            <w:tcW w:w="1530" w:type="dxa"/>
          </w:tcPr>
          <w:p w:rsidR="001127B2" w:rsidRDefault="00B113A8" w:rsidP="00B238E0">
            <w:pPr>
              <w:spacing w:line="480" w:lineRule="auto"/>
              <w:cnfStyle w:val="000000000000"/>
              <w:rPr>
                <w:rFonts w:ascii="Times New Roman" w:hAnsi="Times New Roman" w:cs="Times New Roman"/>
                <w:sz w:val="24"/>
              </w:rPr>
            </w:pPr>
            <w:r>
              <w:rPr>
                <w:rFonts w:ascii="Times New Roman" w:hAnsi="Times New Roman" w:cs="Times New Roman"/>
                <w:sz w:val="24"/>
              </w:rPr>
              <w:t>1:02am</w:t>
            </w:r>
          </w:p>
        </w:tc>
      </w:tr>
    </w:tbl>
    <w:p w:rsidR="001127B2" w:rsidRPr="001127B2" w:rsidRDefault="001127B2" w:rsidP="00B238E0">
      <w:pPr>
        <w:spacing w:line="480" w:lineRule="auto"/>
        <w:rPr>
          <w:rFonts w:ascii="Times New Roman" w:hAnsi="Times New Roman" w:cs="Times New Roman"/>
          <w:sz w:val="24"/>
        </w:rPr>
      </w:pPr>
    </w:p>
    <w:p w:rsidR="00332BAA" w:rsidRPr="00E40F4D" w:rsidRDefault="00332BAA" w:rsidP="00B238E0">
      <w:pPr>
        <w:spacing w:line="480" w:lineRule="auto"/>
        <w:rPr>
          <w:rFonts w:ascii="Times New Roman" w:hAnsi="Times New Roman" w:cs="Times New Roman"/>
          <w:sz w:val="24"/>
          <w:szCs w:val="24"/>
        </w:rPr>
      </w:pPr>
    </w:p>
    <w:p w:rsidR="00332BAA" w:rsidRPr="00E40F4D" w:rsidRDefault="00332BAA" w:rsidP="00B238E0">
      <w:pPr>
        <w:spacing w:line="480" w:lineRule="auto"/>
        <w:rPr>
          <w:rFonts w:ascii="Times New Roman" w:hAnsi="Times New Roman" w:cs="Times New Roman"/>
          <w:sz w:val="24"/>
          <w:szCs w:val="24"/>
        </w:rPr>
      </w:pPr>
    </w:p>
    <w:p w:rsidR="00332BAA" w:rsidRPr="00E40F4D" w:rsidRDefault="00332BAA" w:rsidP="00B238E0">
      <w:pPr>
        <w:spacing w:line="480" w:lineRule="auto"/>
        <w:rPr>
          <w:rFonts w:ascii="Times New Roman" w:hAnsi="Times New Roman" w:cs="Times New Roman"/>
          <w:sz w:val="24"/>
          <w:szCs w:val="24"/>
        </w:rPr>
      </w:pPr>
    </w:p>
    <w:sectPr w:rsidR="00332BAA" w:rsidRPr="00E40F4D" w:rsidSect="00671FF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CC8" w:rsidRDefault="00D27CC8" w:rsidP="00444ACB">
      <w:pPr>
        <w:spacing w:after="0" w:line="240" w:lineRule="auto"/>
      </w:pPr>
      <w:r>
        <w:separator/>
      </w:r>
    </w:p>
  </w:endnote>
  <w:endnote w:type="continuationSeparator" w:id="1">
    <w:p w:rsidR="00D27CC8" w:rsidRDefault="00D27CC8" w:rsidP="00444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CC8" w:rsidRDefault="00D27CC8" w:rsidP="00444ACB">
      <w:pPr>
        <w:spacing w:after="0" w:line="240" w:lineRule="auto"/>
      </w:pPr>
      <w:r>
        <w:separator/>
      </w:r>
    </w:p>
  </w:footnote>
  <w:footnote w:type="continuationSeparator" w:id="1">
    <w:p w:rsidR="00D27CC8" w:rsidRDefault="00D27CC8" w:rsidP="00444ACB">
      <w:pPr>
        <w:spacing w:after="0" w:line="240" w:lineRule="auto"/>
      </w:pPr>
      <w:r>
        <w:continuationSeparator/>
      </w:r>
    </w:p>
  </w:footnote>
  <w:footnote w:id="2">
    <w:p w:rsidR="00132DBC" w:rsidRPr="00C81799" w:rsidRDefault="00132DBC">
      <w:pPr>
        <w:pStyle w:val="FootnoteText"/>
        <w:rPr>
          <w:rFonts w:ascii="Times New Roman" w:hAnsi="Times New Roman" w:cs="Times New Roman"/>
        </w:rPr>
      </w:pPr>
      <w:r>
        <w:rPr>
          <w:rStyle w:val="FootnoteReference"/>
        </w:rPr>
        <w:footnoteRef/>
      </w:r>
      <w:r>
        <w:t xml:space="preserve"> </w:t>
      </w:r>
      <w:r w:rsidRPr="00C81799">
        <w:rPr>
          <w:rFonts w:ascii="Times New Roman" w:hAnsi="Times New Roman" w:cs="Times New Roman"/>
        </w:rPr>
        <w:t>Sagay, Nigerian Law of Contract (Spectrum Books Limited 2009)</w:t>
      </w:r>
    </w:p>
  </w:footnote>
  <w:footnote w:id="3">
    <w:p w:rsidR="00132DBC" w:rsidRPr="00C81799" w:rsidRDefault="00132DBC">
      <w:pPr>
        <w:pStyle w:val="FootnoteText"/>
        <w:rPr>
          <w:rFonts w:ascii="Times New Roman" w:hAnsi="Times New Roman" w:cs="Times New Roman"/>
        </w:rPr>
      </w:pPr>
      <w:r w:rsidRPr="00C81799">
        <w:rPr>
          <w:rStyle w:val="FootnoteReference"/>
          <w:rFonts w:ascii="Times New Roman" w:hAnsi="Times New Roman" w:cs="Times New Roman"/>
        </w:rPr>
        <w:footnoteRef/>
      </w:r>
      <w:r w:rsidRPr="00C81799">
        <w:rPr>
          <w:rFonts w:ascii="Times New Roman" w:hAnsi="Times New Roman" w:cs="Times New Roman"/>
        </w:rPr>
        <w:t xml:space="preserve"> </w:t>
      </w:r>
      <w:r>
        <w:rPr>
          <w:rFonts w:ascii="Times New Roman" w:hAnsi="Times New Roman" w:cs="Times New Roman"/>
        </w:rPr>
        <w:t>(</w:t>
      </w:r>
      <w:r w:rsidRPr="00C81799">
        <w:rPr>
          <w:rFonts w:ascii="Times New Roman" w:hAnsi="Times New Roman" w:cs="Times New Roman"/>
        </w:rPr>
        <w:t>Treitel 2007, para. 17-049</w:t>
      </w:r>
      <w:r>
        <w:rPr>
          <w:rFonts w:ascii="Times New Roman" w:hAnsi="Times New Roman" w:cs="Times New Roman"/>
        </w:rPr>
        <w:t>)</w:t>
      </w:r>
    </w:p>
  </w:footnote>
  <w:footnote w:id="4">
    <w:p w:rsidR="00132DBC" w:rsidRPr="00184B28" w:rsidRDefault="00132DB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(2012) LPELR-SC 34/2005</w:t>
      </w:r>
    </w:p>
  </w:footnote>
  <w:footnote w:id="5">
    <w:p w:rsidR="00132DBC" w:rsidRPr="00E62CFB" w:rsidRDefault="00132DBC">
      <w:pPr>
        <w:pStyle w:val="FootnoteText"/>
        <w:rPr>
          <w:rFonts w:ascii="Times New Roman" w:hAnsi="Times New Roman" w:cs="Times New Roman"/>
          <w:sz w:val="18"/>
          <w:szCs w:val="18"/>
        </w:rPr>
      </w:pPr>
      <w:r>
        <w:rPr>
          <w:rStyle w:val="FootnoteReference"/>
        </w:rPr>
        <w:footnoteRef/>
      </w:r>
      <w:r>
        <w:t xml:space="preserve"> </w:t>
      </w:r>
      <w:r w:rsidRPr="00E62CFB">
        <w:rPr>
          <w:rFonts w:ascii="Times New Roman" w:hAnsi="Times New Roman" w:cs="Times New Roman"/>
          <w:color w:val="212121"/>
          <w:sz w:val="18"/>
          <w:szCs w:val="18"/>
        </w:rPr>
        <w:t>(</w:t>
      </w:r>
      <w:r w:rsidRPr="00E62CFB">
        <w:rPr>
          <w:rStyle w:val="Emphasis"/>
          <w:rFonts w:ascii="Times New Roman" w:hAnsi="Times New Roman" w:cs="Times New Roman"/>
          <w:color w:val="212121"/>
          <w:sz w:val="18"/>
          <w:szCs w:val="18"/>
        </w:rPr>
        <w:t>[1859] 4 Drew651</w:t>
      </w:r>
      <w:r w:rsidRPr="00E62CFB">
        <w:rPr>
          <w:rFonts w:ascii="Times New Roman" w:hAnsi="Times New Roman" w:cs="Times New Roman"/>
          <w:color w:val="212121"/>
          <w:sz w:val="18"/>
          <w:szCs w:val="18"/>
        </w:rPr>
        <w:t>)</w:t>
      </w:r>
    </w:p>
  </w:footnote>
  <w:footnote w:id="6">
    <w:p w:rsidR="00132DBC" w:rsidRPr="00E62CFB" w:rsidRDefault="00132DBC">
      <w:pPr>
        <w:pStyle w:val="FootnoteText"/>
        <w:rPr>
          <w:sz w:val="18"/>
          <w:szCs w:val="18"/>
        </w:rPr>
      </w:pPr>
      <w:r>
        <w:rPr>
          <w:rStyle w:val="FootnoteReference"/>
        </w:rPr>
        <w:footnoteRef/>
      </w:r>
      <w:r>
        <w:t xml:space="preserve"> </w:t>
      </w:r>
      <w:r w:rsidRPr="00E62CFB">
        <w:rPr>
          <w:rStyle w:val="Emphasis"/>
          <w:rFonts w:ascii="Times New Roman" w:hAnsi="Times New Roman" w:cs="Times New Roman"/>
          <w:color w:val="212121"/>
          <w:sz w:val="18"/>
          <w:szCs w:val="18"/>
        </w:rPr>
        <w:t>[1852] 1 DM &amp; G604).</w:t>
      </w:r>
    </w:p>
  </w:footnote>
  <w:footnote w:id="7">
    <w:p w:rsidR="00132DBC" w:rsidRPr="00893D17" w:rsidRDefault="00132DBC">
      <w:pPr>
        <w:pStyle w:val="FootnoteText"/>
        <w:rPr>
          <w:rFonts w:ascii="Times New Roman" w:hAnsi="Times New Roman" w:cs="Times New Roman"/>
          <w:sz w:val="18"/>
          <w:szCs w:val="18"/>
        </w:rPr>
      </w:pPr>
      <w:r>
        <w:rPr>
          <w:rStyle w:val="FootnoteReference"/>
        </w:rPr>
        <w:footnoteRef/>
      </w:r>
      <w:r>
        <w:t xml:space="preserve"> </w:t>
      </w:r>
      <w:r w:rsidRPr="00893D17">
        <w:rPr>
          <w:rStyle w:val="Emphasis"/>
          <w:rFonts w:ascii="Times New Roman" w:hAnsi="Times New Roman" w:cs="Times New Roman"/>
          <w:color w:val="212121"/>
          <w:sz w:val="18"/>
          <w:szCs w:val="18"/>
        </w:rPr>
        <w:t>([1854] 9 Exch. 341</w:t>
      </w:r>
      <w:r w:rsidRPr="00893D17">
        <w:rPr>
          <w:rFonts w:ascii="Times New Roman" w:hAnsi="Times New Roman" w:cs="Times New Roman"/>
          <w:color w:val="212121"/>
          <w:sz w:val="18"/>
          <w:szCs w:val="18"/>
        </w:rPr>
        <w:t>)</w:t>
      </w:r>
    </w:p>
  </w:footnote>
  <w:footnote w:id="8">
    <w:p w:rsidR="00132DBC" w:rsidRPr="00DF67B0" w:rsidRDefault="00132DBC">
      <w:pPr>
        <w:pStyle w:val="FootnoteText"/>
        <w:rPr>
          <w:rFonts w:ascii="Times New Roman" w:hAnsi="Times New Roman" w:cs="Times New Roman"/>
        </w:rPr>
      </w:pPr>
      <w:r>
        <w:rPr>
          <w:rStyle w:val="FootnoteReference"/>
        </w:rPr>
        <w:footnoteRef/>
      </w:r>
      <w:r>
        <w:t xml:space="preserve"> </w:t>
      </w:r>
      <w:r w:rsidRPr="00DF67B0">
        <w:rPr>
          <w:rFonts w:ascii="Times New Roman" w:hAnsi="Times New Roman" w:cs="Times New Roman"/>
          <w:i/>
        </w:rPr>
        <w:t xml:space="preserve">British Westinghouse Electric and Manufacturing Co v Underground Electric Rly Co of London </w:t>
      </w:r>
      <w:r w:rsidRPr="00DF67B0">
        <w:rPr>
          <w:rFonts w:ascii="Times New Roman" w:hAnsi="Times New Roman" w:cs="Times New Roman"/>
        </w:rPr>
        <w:t xml:space="preserve">(1912) AC 673 at 679, per Lord Haldane. It is wrong to express this rule by stating that the plaintiff is under a duty to mitigate his loss: </w:t>
      </w:r>
      <w:r w:rsidRPr="00DF67B0">
        <w:rPr>
          <w:rFonts w:ascii="Times New Roman" w:hAnsi="Times New Roman" w:cs="Times New Roman"/>
          <w:i/>
        </w:rPr>
        <w:t xml:space="preserve">Sotiros Shipping Inc v Sameiet, the Solholt </w:t>
      </w:r>
      <w:r w:rsidRPr="00DF67B0">
        <w:rPr>
          <w:rFonts w:ascii="Times New Roman" w:hAnsi="Times New Roman" w:cs="Times New Roman"/>
        </w:rPr>
        <w:t>(1983) 1 Lloyd’s Rep 605.</w:t>
      </w:r>
    </w:p>
  </w:footnote>
  <w:footnote w:id="9">
    <w:p w:rsidR="00132DBC" w:rsidRPr="00DF67B0" w:rsidRDefault="00132DBC">
      <w:pPr>
        <w:pStyle w:val="FootnoteText"/>
        <w:rPr>
          <w:rFonts w:ascii="Times New Roman" w:hAnsi="Times New Roman" w:cs="Times New Roman"/>
        </w:rPr>
      </w:pPr>
      <w:r w:rsidRPr="00DF67B0">
        <w:rPr>
          <w:rStyle w:val="FootnoteReference"/>
          <w:rFonts w:ascii="Times New Roman" w:hAnsi="Times New Roman" w:cs="Times New Roman"/>
        </w:rPr>
        <w:footnoteRef/>
      </w:r>
      <w:r w:rsidRPr="00DF67B0">
        <w:rPr>
          <w:rFonts w:ascii="Times New Roman" w:hAnsi="Times New Roman" w:cs="Times New Roman"/>
        </w:rPr>
        <w:t xml:space="preserve"> (1845) 1 Car &amp; Kir 686</w:t>
      </w:r>
    </w:p>
  </w:footnote>
  <w:footnote w:id="10">
    <w:p w:rsidR="00132DBC" w:rsidRPr="00DF67B0" w:rsidRDefault="00132DBC">
      <w:pPr>
        <w:pStyle w:val="FootnoteText"/>
        <w:rPr>
          <w:rFonts w:ascii="Times New Roman" w:hAnsi="Times New Roman" w:cs="Times New Roman"/>
        </w:rPr>
      </w:pPr>
      <w:r w:rsidRPr="00DF67B0">
        <w:rPr>
          <w:rStyle w:val="FootnoteReference"/>
          <w:rFonts w:ascii="Times New Roman" w:hAnsi="Times New Roman" w:cs="Times New Roman"/>
        </w:rPr>
        <w:footnoteRef/>
      </w:r>
      <w:r w:rsidRPr="00DF67B0">
        <w:rPr>
          <w:rFonts w:ascii="Times New Roman" w:hAnsi="Times New Roman" w:cs="Times New Roman"/>
        </w:rPr>
        <w:t xml:space="preserve"> (1895) 2 QB 253</w:t>
      </w:r>
    </w:p>
  </w:footnote>
  <w:footnote w:id="11">
    <w:p w:rsidR="00132DBC" w:rsidRPr="00DF67B0" w:rsidRDefault="00132DBC">
      <w:pPr>
        <w:pStyle w:val="FootnoteText"/>
        <w:rPr>
          <w:rFonts w:ascii="Times New Roman" w:hAnsi="Times New Roman" w:cs="Times New Roman"/>
        </w:rPr>
      </w:pPr>
      <w:r>
        <w:rPr>
          <w:rStyle w:val="FootnoteReference"/>
        </w:rPr>
        <w:footnoteRef/>
      </w:r>
      <w:r>
        <w:t xml:space="preserve"> </w:t>
      </w:r>
      <w:r w:rsidRPr="00DF67B0">
        <w:rPr>
          <w:rFonts w:ascii="Times New Roman" w:hAnsi="Times New Roman" w:cs="Times New Roman"/>
        </w:rPr>
        <w:t>(1953) Ch 770 (1953) 2 All ER 810</w:t>
      </w:r>
    </w:p>
  </w:footnote>
  <w:footnote w:id="12">
    <w:p w:rsidR="00132DBC" w:rsidRDefault="00132DBC">
      <w:pPr>
        <w:pStyle w:val="FootnoteText"/>
      </w:pPr>
      <w:r w:rsidRPr="00DF67B0">
        <w:rPr>
          <w:rStyle w:val="FootnoteReference"/>
          <w:rFonts w:ascii="Times New Roman" w:hAnsi="Times New Roman" w:cs="Times New Roman"/>
        </w:rPr>
        <w:footnoteRef/>
      </w:r>
      <w:r w:rsidRPr="00DF67B0">
        <w:rPr>
          <w:rFonts w:ascii="Times New Roman" w:hAnsi="Times New Roman" w:cs="Times New Roman"/>
        </w:rPr>
        <w:t xml:space="preserve"> (1978) 1 All ER 33</w:t>
      </w:r>
    </w:p>
  </w:footnote>
  <w:footnote w:id="13">
    <w:p w:rsidR="00132DBC" w:rsidRPr="00AE6804" w:rsidRDefault="00132DBC" w:rsidP="00AE6804">
      <w:pPr>
        <w:rPr>
          <w:rFonts w:ascii="Times New Roman" w:hAnsi="Times New Roman" w:cs="Times New Roman"/>
          <w:color w:val="212121"/>
          <w:sz w:val="18"/>
          <w:szCs w:val="18"/>
        </w:rPr>
      </w:pPr>
      <w:r>
        <w:rPr>
          <w:rStyle w:val="FootnoteReference"/>
        </w:rPr>
        <w:footnoteRef/>
      </w:r>
      <w:r>
        <w:t xml:space="preserve"> </w:t>
      </w:r>
      <w:r w:rsidRPr="00AE6804">
        <w:rPr>
          <w:rFonts w:ascii="Times New Roman" w:hAnsi="Times New Roman" w:cs="Times New Roman"/>
          <w:color w:val="212121"/>
          <w:sz w:val="18"/>
          <w:szCs w:val="18"/>
        </w:rPr>
        <w:t>(</w:t>
      </w:r>
      <w:r w:rsidRPr="00AE6804">
        <w:rPr>
          <w:rStyle w:val="Emphasis"/>
          <w:rFonts w:ascii="Times New Roman" w:hAnsi="Times New Roman" w:cs="Times New Roman"/>
          <w:color w:val="212121"/>
          <w:sz w:val="18"/>
          <w:szCs w:val="18"/>
        </w:rPr>
        <w:t>Dunlop Pneumatic Tyre Co Limited v New Garage &amp; Motor Co Limited [1915] A.C 79</w:t>
      </w:r>
      <w:r w:rsidRPr="00AE6804">
        <w:rPr>
          <w:rFonts w:ascii="Times New Roman" w:hAnsi="Times New Roman" w:cs="Times New Roman"/>
          <w:color w:val="212121"/>
          <w:sz w:val="18"/>
          <w:szCs w:val="18"/>
        </w:rPr>
        <w:t>)</w:t>
      </w:r>
    </w:p>
    <w:p w:rsidR="00132DBC" w:rsidRDefault="00132DB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8329A"/>
    <w:multiLevelType w:val="hybridMultilevel"/>
    <w:tmpl w:val="D908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CC446B"/>
    <w:multiLevelType w:val="hybridMultilevel"/>
    <w:tmpl w:val="0284BD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DC656A"/>
    <w:multiLevelType w:val="multilevel"/>
    <w:tmpl w:val="CA74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38E0"/>
    <w:rsid w:val="001127B2"/>
    <w:rsid w:val="00132DBC"/>
    <w:rsid w:val="00184B28"/>
    <w:rsid w:val="001E68D3"/>
    <w:rsid w:val="0022073F"/>
    <w:rsid w:val="00332BAA"/>
    <w:rsid w:val="00444ACB"/>
    <w:rsid w:val="004625AC"/>
    <w:rsid w:val="0051025A"/>
    <w:rsid w:val="005D1B32"/>
    <w:rsid w:val="005F7E40"/>
    <w:rsid w:val="00671FF6"/>
    <w:rsid w:val="00677D75"/>
    <w:rsid w:val="00792A75"/>
    <w:rsid w:val="0082623C"/>
    <w:rsid w:val="00893D17"/>
    <w:rsid w:val="008A1E6B"/>
    <w:rsid w:val="00960083"/>
    <w:rsid w:val="00A2416D"/>
    <w:rsid w:val="00A3706D"/>
    <w:rsid w:val="00AE6804"/>
    <w:rsid w:val="00B113A8"/>
    <w:rsid w:val="00B238E0"/>
    <w:rsid w:val="00B33CF3"/>
    <w:rsid w:val="00BC2128"/>
    <w:rsid w:val="00C700D2"/>
    <w:rsid w:val="00C81799"/>
    <w:rsid w:val="00CA6299"/>
    <w:rsid w:val="00D27CC8"/>
    <w:rsid w:val="00D74DFD"/>
    <w:rsid w:val="00DF67B0"/>
    <w:rsid w:val="00E40F4D"/>
    <w:rsid w:val="00E62CFB"/>
    <w:rsid w:val="00E96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FF6"/>
  </w:style>
  <w:style w:type="paragraph" w:styleId="Heading2">
    <w:name w:val="heading 2"/>
    <w:basedOn w:val="Normal"/>
    <w:next w:val="Normal"/>
    <w:link w:val="Heading2Char"/>
    <w:uiPriority w:val="9"/>
    <w:semiHidden/>
    <w:unhideWhenUsed/>
    <w:qFormat/>
    <w:rsid w:val="00E40F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4A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ACB"/>
    <w:rPr>
      <w:sz w:val="20"/>
      <w:szCs w:val="20"/>
    </w:rPr>
  </w:style>
  <w:style w:type="character" w:styleId="FootnoteReference">
    <w:name w:val="footnote reference"/>
    <w:basedOn w:val="DefaultParagraphFont"/>
    <w:uiPriority w:val="99"/>
    <w:semiHidden/>
    <w:unhideWhenUsed/>
    <w:rsid w:val="00444ACB"/>
    <w:rPr>
      <w:vertAlign w:val="superscript"/>
    </w:rPr>
  </w:style>
  <w:style w:type="paragraph" w:styleId="ListParagraph">
    <w:name w:val="List Paragraph"/>
    <w:basedOn w:val="Normal"/>
    <w:uiPriority w:val="34"/>
    <w:qFormat/>
    <w:rsid w:val="00444ACB"/>
    <w:pPr>
      <w:ind w:left="720"/>
      <w:contextualSpacing/>
    </w:pPr>
  </w:style>
  <w:style w:type="character" w:customStyle="1" w:styleId="Heading2Char">
    <w:name w:val="Heading 2 Char"/>
    <w:basedOn w:val="DefaultParagraphFont"/>
    <w:link w:val="Heading2"/>
    <w:uiPriority w:val="9"/>
    <w:semiHidden/>
    <w:rsid w:val="00E40F4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E62CFB"/>
    <w:rPr>
      <w:i/>
      <w:iCs/>
    </w:rPr>
  </w:style>
  <w:style w:type="paragraph" w:styleId="NormalWeb">
    <w:name w:val="Normal (Web)"/>
    <w:basedOn w:val="Normal"/>
    <w:uiPriority w:val="99"/>
    <w:unhideWhenUsed/>
    <w:rsid w:val="00E62C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2CFB"/>
    <w:rPr>
      <w:color w:val="0000FF"/>
      <w:u w:val="single"/>
    </w:rPr>
  </w:style>
  <w:style w:type="table" w:styleId="TableGrid">
    <w:name w:val="Table Grid"/>
    <w:basedOn w:val="TableNormal"/>
    <w:uiPriority w:val="59"/>
    <w:rsid w:val="001127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2">
    <w:name w:val="Medium Grid 2"/>
    <w:basedOn w:val="TableNormal"/>
    <w:uiPriority w:val="68"/>
    <w:rsid w:val="001127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1127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divs>
    <w:div w:id="644242808">
      <w:bodyDiv w:val="1"/>
      <w:marLeft w:val="0"/>
      <w:marRight w:val="0"/>
      <w:marTop w:val="0"/>
      <w:marBottom w:val="0"/>
      <w:divBdr>
        <w:top w:val="none" w:sz="0" w:space="0" w:color="auto"/>
        <w:left w:val="none" w:sz="0" w:space="0" w:color="auto"/>
        <w:bottom w:val="none" w:sz="0" w:space="0" w:color="auto"/>
        <w:right w:val="none" w:sz="0" w:space="0" w:color="auto"/>
      </w:divBdr>
    </w:div>
    <w:div w:id="192572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ss" TargetMode="External"/><Relationship Id="rId13" Type="http://schemas.openxmlformats.org/officeDocument/2006/relationships/hyperlink" Target="https://en.wikipedia.org/wiki/Frederick_Gy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Haymarket_(London)" TargetMode="External"/><Relationship Id="rId17" Type="http://schemas.openxmlformats.org/officeDocument/2006/relationships/hyperlink" Target="https://www.hg.org/legal-articles/remedies-for-a-breach-of-contract-20711" TargetMode="External"/><Relationship Id="rId2" Type="http://schemas.openxmlformats.org/officeDocument/2006/relationships/numbering" Target="numbering.xml"/><Relationship Id="rId16" Type="http://schemas.openxmlformats.org/officeDocument/2006/relationships/hyperlink" Target="Https://www.lawteacher.net/free-law-essays/contract/breach-of-a-contract-contract-law-essay.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Her_Majesty%E2%80%99s_Theatre" TargetMode="External"/><Relationship Id="rId5" Type="http://schemas.openxmlformats.org/officeDocument/2006/relationships/webSettings" Target="webSettings.xml"/><Relationship Id="rId15" Type="http://schemas.openxmlformats.org/officeDocument/2006/relationships/hyperlink" Target="https://www.lawteacher.net/cases/hadley-v-baxendale.php" TargetMode="External"/><Relationship Id="rId10" Type="http://schemas.openxmlformats.org/officeDocument/2006/relationships/hyperlink" Target="https://en.wikipedia.org/wiki/Benjamin_Lumle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Johanna_Wagner" TargetMode="External"/><Relationship Id="rId14" Type="http://schemas.openxmlformats.org/officeDocument/2006/relationships/hyperlink" Target="https://en.wikipedia.org/wiki/Covent_Garden_Thea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44FA9-DAE8-4288-A783-18520552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10</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2020-05-04T22:47:00Z</dcterms:created>
  <dcterms:modified xsi:type="dcterms:W3CDTF">2020-05-06T23:54:00Z</dcterms:modified>
</cp:coreProperties>
</file>