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FA" w:rsidRDefault="00B029FA" w:rsidP="00B029FA">
      <w:pPr>
        <w:rPr>
          <w:rFonts w:ascii="Times New Roman" w:hAnsi="Times New Roman" w:cs="Times New Roman"/>
          <w:sz w:val="24"/>
          <w:szCs w:val="24"/>
        </w:rPr>
      </w:pPr>
      <w:r w:rsidRPr="00722F8F">
        <w:rPr>
          <w:rFonts w:ascii="Trebuchet MS" w:eastAsia="Calibri" w:hAnsi="Trebuchet MS" w:cs="Times New Roman"/>
          <w:noProof/>
          <w:sz w:val="32"/>
          <w:szCs w:val="32"/>
          <w:lang w:val="en-GB" w:eastAsia="en-GB"/>
        </w:rPr>
        <w:drawing>
          <wp:inline distT="0" distB="0" distL="0" distR="0" wp14:anchorId="207B4C98" wp14:editId="3536193E">
            <wp:extent cx="5104461" cy="953720"/>
            <wp:effectExtent l="0" t="0" r="1270" b="0"/>
            <wp:docPr id="1"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213616" cy="974115"/>
                    </a:xfrm>
                    <a:prstGeom prst="rect">
                      <a:avLst/>
                    </a:prstGeom>
                    <a:noFill/>
                    <a:ln w="9525">
                      <a:noFill/>
                      <a:miter lim="800000"/>
                      <a:headEnd/>
                      <a:tailEnd/>
                    </a:ln>
                  </pic:spPr>
                </pic:pic>
              </a:graphicData>
            </a:graphic>
          </wp:inline>
        </w:drawing>
      </w:r>
    </w:p>
    <w:p w:rsidR="00B029FA" w:rsidRPr="00722F8F" w:rsidRDefault="00B029FA" w:rsidP="00B029FA">
      <w:pPr>
        <w:spacing w:after="200" w:line="480" w:lineRule="auto"/>
        <w:ind w:left="-142" w:right="-279"/>
        <w:rPr>
          <w:rFonts w:ascii="Trebuchet MS" w:eastAsia="Calibri" w:hAnsi="Trebuchet MS" w:cs="Times New Roman"/>
          <w:b/>
          <w:sz w:val="28"/>
          <w:lang w:val="en-GB"/>
        </w:rPr>
      </w:pPr>
    </w:p>
    <w:p w:rsidR="00B029FA" w:rsidRDefault="00B029FA" w:rsidP="00B029FA">
      <w:pPr>
        <w:spacing w:after="0" w:line="240" w:lineRule="auto"/>
        <w:ind w:left="-142" w:right="-279"/>
        <w:contextualSpacing/>
        <w:jc w:val="center"/>
        <w:rPr>
          <w:rFonts w:ascii="Trebuchet MS" w:eastAsia="Times New Roman" w:hAnsi="Trebuchet MS" w:cs="Times New Roman"/>
          <w:spacing w:val="-10"/>
          <w:kern w:val="28"/>
          <w:sz w:val="56"/>
          <w:szCs w:val="56"/>
        </w:rPr>
      </w:pPr>
      <w:r w:rsidRPr="00722F8F">
        <w:rPr>
          <w:rFonts w:ascii="Trebuchet MS" w:eastAsia="Times New Roman" w:hAnsi="Trebuchet MS" w:cs="Times New Roman"/>
          <w:spacing w:val="-10"/>
          <w:kern w:val="28"/>
          <w:sz w:val="56"/>
          <w:szCs w:val="56"/>
        </w:rPr>
        <w:t>COLLEGE OF LAW</w:t>
      </w:r>
    </w:p>
    <w:p w:rsidR="00B029FA" w:rsidRPr="00722F8F" w:rsidRDefault="00B029FA" w:rsidP="00B029FA">
      <w:pPr>
        <w:spacing w:after="0" w:line="240" w:lineRule="auto"/>
        <w:ind w:left="-142" w:right="-279"/>
        <w:contextualSpacing/>
        <w:jc w:val="center"/>
        <w:rPr>
          <w:rFonts w:ascii="Trebuchet MS" w:eastAsia="Times New Roman" w:hAnsi="Trebuchet MS" w:cs="Times New Roman"/>
          <w:spacing w:val="-10"/>
          <w:kern w:val="28"/>
          <w:sz w:val="56"/>
          <w:szCs w:val="56"/>
        </w:rPr>
      </w:pPr>
    </w:p>
    <w:p w:rsidR="00B029FA" w:rsidRPr="0087538F" w:rsidRDefault="00B029FA" w:rsidP="00B029FA">
      <w:pPr>
        <w:spacing w:after="0" w:line="360" w:lineRule="auto"/>
        <w:ind w:left="-142" w:right="-279"/>
        <w:rPr>
          <w:rFonts w:ascii="Times New Roman" w:eastAsia="Calibri" w:hAnsi="Times New Roman" w:cs="Times New Roman"/>
          <w:b/>
          <w:sz w:val="32"/>
          <w:szCs w:val="32"/>
          <w:lang w:val="en-GB"/>
        </w:rPr>
      </w:pPr>
      <w:r w:rsidRPr="0087538F">
        <w:rPr>
          <w:rFonts w:ascii="Times New Roman" w:eastAsia="Calibri" w:hAnsi="Times New Roman" w:cs="Times New Roman"/>
          <w:b/>
          <w:sz w:val="32"/>
          <w:szCs w:val="32"/>
          <w:lang w:val="en-GB"/>
        </w:rPr>
        <w:t>NAME: UNUGBUA, ESTHER BOMA</w:t>
      </w:r>
    </w:p>
    <w:p w:rsidR="00B029FA" w:rsidRPr="0087538F" w:rsidRDefault="00B029FA" w:rsidP="00B029FA">
      <w:pPr>
        <w:spacing w:after="0" w:line="360" w:lineRule="auto"/>
        <w:ind w:left="-142" w:right="-279"/>
        <w:rPr>
          <w:rFonts w:ascii="Times New Roman" w:eastAsia="Calibri" w:hAnsi="Times New Roman" w:cs="Times New Roman"/>
          <w:b/>
          <w:sz w:val="32"/>
          <w:szCs w:val="32"/>
          <w:lang w:val="en-GB"/>
        </w:rPr>
      </w:pPr>
      <w:r w:rsidRPr="0087538F">
        <w:rPr>
          <w:rFonts w:ascii="Times New Roman" w:eastAsia="Calibri" w:hAnsi="Times New Roman" w:cs="Times New Roman"/>
          <w:b/>
          <w:sz w:val="32"/>
          <w:szCs w:val="32"/>
          <w:lang w:val="en-GB"/>
        </w:rPr>
        <w:t>MATRIC NUMBER: 17/LAW01/287</w:t>
      </w:r>
    </w:p>
    <w:p w:rsidR="00B029FA" w:rsidRPr="0087538F" w:rsidRDefault="00B029FA" w:rsidP="00B029FA">
      <w:pPr>
        <w:spacing w:after="0" w:line="360" w:lineRule="auto"/>
        <w:ind w:left="-142" w:right="-279"/>
        <w:rPr>
          <w:rFonts w:ascii="Times New Roman" w:eastAsia="Calibri" w:hAnsi="Times New Roman" w:cs="Times New Roman"/>
          <w:b/>
          <w:sz w:val="32"/>
          <w:szCs w:val="32"/>
          <w:lang w:val="en-GB"/>
        </w:rPr>
      </w:pPr>
      <w:r>
        <w:rPr>
          <w:rFonts w:ascii="Times New Roman" w:eastAsia="Calibri" w:hAnsi="Times New Roman" w:cs="Times New Roman"/>
          <w:b/>
          <w:sz w:val="32"/>
          <w:szCs w:val="32"/>
          <w:lang w:val="en-GB"/>
        </w:rPr>
        <w:t>LEVEL: 300</w:t>
      </w:r>
    </w:p>
    <w:p w:rsidR="00B029FA" w:rsidRDefault="00B029FA" w:rsidP="00B029FA">
      <w:pPr>
        <w:spacing w:after="0" w:line="360" w:lineRule="auto"/>
        <w:ind w:left="-142" w:right="-279"/>
        <w:rPr>
          <w:rFonts w:ascii="Times New Roman" w:eastAsia="Calibri" w:hAnsi="Times New Roman" w:cs="Times New Roman"/>
          <w:b/>
          <w:sz w:val="32"/>
          <w:szCs w:val="32"/>
          <w:lang w:val="en-GB"/>
        </w:rPr>
      </w:pPr>
      <w:r>
        <w:rPr>
          <w:rFonts w:ascii="Times New Roman" w:eastAsia="Calibri" w:hAnsi="Times New Roman" w:cs="Times New Roman"/>
          <w:b/>
          <w:sz w:val="32"/>
          <w:szCs w:val="32"/>
          <w:lang w:val="en-GB"/>
        </w:rPr>
        <w:t>COURSE TITLE: LAW OF TORTS II</w:t>
      </w:r>
    </w:p>
    <w:p w:rsidR="00B029FA" w:rsidRPr="00AA4645" w:rsidRDefault="00B029FA" w:rsidP="00B029FA">
      <w:pPr>
        <w:spacing w:after="0" w:line="360" w:lineRule="auto"/>
        <w:ind w:left="-142" w:right="-279"/>
        <w:rPr>
          <w:rFonts w:ascii="Times New Roman" w:eastAsia="Calibri" w:hAnsi="Times New Roman" w:cs="Times New Roman"/>
          <w:b/>
          <w:sz w:val="32"/>
          <w:szCs w:val="32"/>
          <w:lang w:val="en-GB"/>
        </w:rPr>
      </w:pPr>
      <w:r>
        <w:rPr>
          <w:rFonts w:ascii="Times New Roman" w:eastAsia="Calibri" w:hAnsi="Times New Roman" w:cs="Times New Roman"/>
          <w:b/>
          <w:sz w:val="32"/>
          <w:szCs w:val="32"/>
          <w:lang w:val="en-GB"/>
        </w:rPr>
        <w:t>COURSE CODE: LP</w:t>
      </w:r>
      <w:r w:rsidR="00477064">
        <w:rPr>
          <w:rFonts w:ascii="Times New Roman" w:eastAsia="Calibri" w:hAnsi="Times New Roman" w:cs="Times New Roman"/>
          <w:b/>
          <w:sz w:val="32"/>
          <w:szCs w:val="32"/>
          <w:lang w:val="en-GB"/>
        </w:rPr>
        <w:t>B 302</w:t>
      </w:r>
    </w:p>
    <w:p w:rsidR="00B029FA" w:rsidRPr="0087538F" w:rsidRDefault="00B029FA" w:rsidP="00B029FA">
      <w:pPr>
        <w:tabs>
          <w:tab w:val="left" w:pos="3704"/>
        </w:tabs>
        <w:spacing w:after="0" w:line="360" w:lineRule="auto"/>
        <w:ind w:left="-142" w:right="-279"/>
        <w:rPr>
          <w:rFonts w:ascii="Times New Roman" w:eastAsia="Calibri" w:hAnsi="Times New Roman" w:cs="Times New Roman"/>
          <w:b/>
          <w:sz w:val="32"/>
          <w:szCs w:val="32"/>
          <w:lang w:val="en-GB"/>
        </w:rPr>
      </w:pPr>
      <w:r>
        <w:rPr>
          <w:rFonts w:ascii="Times New Roman" w:eastAsia="Calibri" w:hAnsi="Times New Roman" w:cs="Times New Roman"/>
          <w:b/>
          <w:sz w:val="32"/>
          <w:szCs w:val="32"/>
          <w:lang w:val="en-GB"/>
        </w:rPr>
        <w:t xml:space="preserve">LECTURER: APARA OYEBANKE </w:t>
      </w:r>
      <w:r w:rsidR="00477064">
        <w:rPr>
          <w:rFonts w:ascii="Times New Roman" w:eastAsia="Calibri" w:hAnsi="Times New Roman" w:cs="Times New Roman"/>
          <w:b/>
          <w:sz w:val="32"/>
          <w:szCs w:val="32"/>
          <w:lang w:val="en-GB"/>
        </w:rPr>
        <w:t>(MRS)</w:t>
      </w:r>
    </w:p>
    <w:p w:rsidR="00B029FA" w:rsidRPr="0087538F" w:rsidRDefault="00B029FA" w:rsidP="00B029FA">
      <w:pPr>
        <w:spacing w:after="0" w:line="360" w:lineRule="auto"/>
        <w:ind w:left="-142" w:right="-279"/>
        <w:rPr>
          <w:rFonts w:ascii="Times New Roman" w:eastAsia="Calibri" w:hAnsi="Times New Roman" w:cs="Times New Roman"/>
          <w:sz w:val="32"/>
          <w:szCs w:val="32"/>
          <w:lang w:val="en-GB"/>
        </w:rPr>
      </w:pPr>
    </w:p>
    <w:p w:rsidR="00B029FA" w:rsidRDefault="00B029FA" w:rsidP="00477064">
      <w:pPr>
        <w:spacing w:after="200" w:line="240" w:lineRule="auto"/>
        <w:ind w:left="-142" w:right="-279"/>
        <w:rPr>
          <w:rFonts w:ascii="Times New Roman" w:eastAsia="Calibri" w:hAnsi="Times New Roman" w:cs="Times New Roman"/>
          <w:b/>
          <w:sz w:val="36"/>
          <w:szCs w:val="36"/>
          <w:lang w:val="en-GB"/>
        </w:rPr>
      </w:pPr>
    </w:p>
    <w:p w:rsidR="00477064" w:rsidRPr="00722F8F" w:rsidRDefault="00477064" w:rsidP="00477064">
      <w:pPr>
        <w:spacing w:after="200" w:line="240" w:lineRule="auto"/>
        <w:ind w:left="-142" w:right="-279"/>
        <w:rPr>
          <w:rFonts w:ascii="Times New Roman" w:eastAsia="Calibri" w:hAnsi="Times New Roman" w:cs="Times New Roman"/>
          <w:b/>
          <w:sz w:val="36"/>
          <w:szCs w:val="36"/>
          <w:lang w:val="en-GB"/>
        </w:rPr>
      </w:pPr>
    </w:p>
    <w:p w:rsidR="00B029FA" w:rsidRPr="00F32D25" w:rsidRDefault="00B029FA" w:rsidP="00477064">
      <w:pPr>
        <w:spacing w:after="200" w:line="240" w:lineRule="auto"/>
        <w:ind w:right="-279"/>
        <w:jc w:val="center"/>
        <w:rPr>
          <w:rFonts w:ascii="Times New Roman" w:eastAsia="Calibri" w:hAnsi="Times New Roman" w:cs="Times New Roman"/>
          <w:b/>
          <w:sz w:val="32"/>
          <w:szCs w:val="32"/>
          <w:lang w:val="en-GB"/>
        </w:rPr>
      </w:pPr>
      <w:r w:rsidRPr="0087538F">
        <w:rPr>
          <w:rFonts w:ascii="Times New Roman" w:eastAsia="Calibri" w:hAnsi="Times New Roman" w:cs="Times New Roman"/>
          <w:b/>
          <w:sz w:val="32"/>
          <w:szCs w:val="32"/>
          <w:lang w:val="en-GB"/>
        </w:rPr>
        <w:t>QUESTION:</w:t>
      </w:r>
    </w:p>
    <w:p w:rsidR="001A72E4" w:rsidRPr="00477064" w:rsidRDefault="00477064" w:rsidP="00477064">
      <w:pPr>
        <w:jc w:val="center"/>
        <w:rPr>
          <w:rFonts w:ascii="Times New Roman" w:hAnsi="Times New Roman" w:cs="Times New Roman"/>
          <w:sz w:val="28"/>
          <w:szCs w:val="28"/>
        </w:rPr>
      </w:pPr>
      <w:r>
        <w:rPr>
          <w:rFonts w:ascii="Times New Roman" w:hAnsi="Times New Roman" w:cs="Times New Roman"/>
          <w:sz w:val="28"/>
          <w:szCs w:val="28"/>
        </w:rPr>
        <w:t>Discuss the relevance of passing off as a form of Economic Tort in the 21st century Nigeria</w:t>
      </w:r>
    </w:p>
    <w:p w:rsidR="007A0196" w:rsidRDefault="007A0196" w:rsidP="00477064">
      <w:pPr>
        <w:jc w:val="center"/>
      </w:pPr>
    </w:p>
    <w:p w:rsidR="007A0196" w:rsidRDefault="007A0196"/>
    <w:p w:rsidR="007A0196" w:rsidRDefault="007A0196"/>
    <w:p w:rsidR="007A0196" w:rsidRDefault="007A0196"/>
    <w:p w:rsidR="007A0196" w:rsidRDefault="007A0196"/>
    <w:p w:rsidR="007A0196" w:rsidRDefault="007A0196"/>
    <w:p w:rsidR="007A0196" w:rsidRDefault="007A0196"/>
    <w:p w:rsidR="00B029FA" w:rsidRPr="00477064" w:rsidRDefault="00B029FA" w:rsidP="00477064">
      <w:pPr>
        <w:spacing w:line="360" w:lineRule="auto"/>
        <w:jc w:val="center"/>
        <w:rPr>
          <w:rFonts w:ascii="Times New Roman" w:hAnsi="Times New Roman" w:cs="Times New Roman"/>
          <w:b/>
          <w:sz w:val="24"/>
          <w:szCs w:val="24"/>
          <w:u w:val="single"/>
        </w:rPr>
      </w:pPr>
      <w:r w:rsidRPr="00477064">
        <w:rPr>
          <w:rFonts w:ascii="Times New Roman" w:hAnsi="Times New Roman" w:cs="Times New Roman"/>
          <w:b/>
          <w:sz w:val="24"/>
          <w:szCs w:val="24"/>
          <w:u w:val="single"/>
        </w:rPr>
        <w:t>Introduction</w:t>
      </w:r>
    </w:p>
    <w:p w:rsidR="00B029FA" w:rsidRDefault="00B029FA" w:rsidP="00B029FA">
      <w:pPr>
        <w:spacing w:line="360" w:lineRule="auto"/>
        <w:rPr>
          <w:rFonts w:ascii="Times New Roman" w:hAnsi="Times New Roman" w:cs="Times New Roman"/>
          <w:sz w:val="24"/>
          <w:szCs w:val="24"/>
        </w:rPr>
      </w:pPr>
      <w:r w:rsidRPr="005244AF">
        <w:rPr>
          <w:rFonts w:ascii="Times New Roman" w:hAnsi="Times New Roman" w:cs="Times New Roman"/>
          <w:sz w:val="24"/>
          <w:szCs w:val="24"/>
        </w:rPr>
        <w:t>A fundamental element of the business envir</w:t>
      </w:r>
      <w:r w:rsidR="000D3C14">
        <w:rPr>
          <w:rFonts w:ascii="Times New Roman" w:hAnsi="Times New Roman" w:cs="Times New Roman"/>
          <w:sz w:val="24"/>
          <w:szCs w:val="24"/>
        </w:rPr>
        <w:t>onment is the comp</w:t>
      </w:r>
      <w:r w:rsidR="006D1966">
        <w:rPr>
          <w:rFonts w:ascii="Times New Roman" w:hAnsi="Times New Roman" w:cs="Times New Roman"/>
          <w:sz w:val="24"/>
          <w:szCs w:val="24"/>
        </w:rPr>
        <w:t>eti</w:t>
      </w:r>
      <w:r w:rsidR="000D3C14">
        <w:rPr>
          <w:rFonts w:ascii="Times New Roman" w:hAnsi="Times New Roman" w:cs="Times New Roman"/>
          <w:sz w:val="24"/>
          <w:szCs w:val="24"/>
        </w:rPr>
        <w:t>tion amongst</w:t>
      </w:r>
      <w:r w:rsidRPr="005244AF">
        <w:rPr>
          <w:rFonts w:ascii="Times New Roman" w:hAnsi="Times New Roman" w:cs="Times New Roman"/>
          <w:sz w:val="24"/>
          <w:szCs w:val="24"/>
        </w:rPr>
        <w:t xml:space="preserve"> the markets. To this extent, the gain/profit of one business is likely to be at the detriment or disadvantage of another. Economic torts in its essence </w:t>
      </w:r>
      <w:r w:rsidRPr="00E4470E">
        <w:rPr>
          <w:rFonts w:ascii="Times New Roman" w:hAnsi="Times New Roman" w:cs="Times New Roman"/>
          <w:sz w:val="24"/>
          <w:szCs w:val="24"/>
        </w:rPr>
        <w:t>protect</w:t>
      </w:r>
      <w:r>
        <w:rPr>
          <w:rFonts w:ascii="Times New Roman" w:hAnsi="Times New Roman" w:cs="Times New Roman"/>
          <w:sz w:val="24"/>
          <w:szCs w:val="24"/>
        </w:rPr>
        <w:t>s</w:t>
      </w:r>
      <w:r w:rsidRPr="00E4470E">
        <w:rPr>
          <w:rFonts w:ascii="Times New Roman" w:hAnsi="Times New Roman" w:cs="Times New Roman"/>
          <w:sz w:val="24"/>
          <w:szCs w:val="24"/>
        </w:rPr>
        <w:t xml:space="preserve"> some of a</w:t>
      </w:r>
      <w:r>
        <w:rPr>
          <w:rFonts w:ascii="Times New Roman" w:hAnsi="Times New Roman" w:cs="Times New Roman"/>
          <w:sz w:val="24"/>
          <w:szCs w:val="24"/>
        </w:rPr>
        <w:t xml:space="preserve"> person’s intangible interests—</w:t>
      </w:r>
      <w:r w:rsidRPr="00E4470E">
        <w:rPr>
          <w:rFonts w:ascii="Times New Roman" w:hAnsi="Times New Roman" w:cs="Times New Roman"/>
          <w:sz w:val="24"/>
          <w:szCs w:val="24"/>
        </w:rPr>
        <w:t>his business interests—from</w:t>
      </w:r>
      <w:r>
        <w:rPr>
          <w:rFonts w:ascii="Times New Roman" w:hAnsi="Times New Roman" w:cs="Times New Roman"/>
          <w:sz w:val="24"/>
          <w:szCs w:val="24"/>
        </w:rPr>
        <w:t xml:space="preserve"> </w:t>
      </w:r>
      <w:r w:rsidRPr="00E4470E">
        <w:rPr>
          <w:rFonts w:ascii="Times New Roman" w:hAnsi="Times New Roman" w:cs="Times New Roman"/>
          <w:sz w:val="24"/>
          <w:szCs w:val="24"/>
        </w:rPr>
        <w:t>unlawful interference.</w:t>
      </w:r>
      <w:r>
        <w:rPr>
          <w:rFonts w:ascii="Times New Roman" w:hAnsi="Times New Roman" w:cs="Times New Roman"/>
          <w:sz w:val="24"/>
          <w:szCs w:val="24"/>
        </w:rPr>
        <w:t xml:space="preserve"> </w:t>
      </w:r>
      <w:r w:rsidRPr="005244AF">
        <w:rPr>
          <w:rFonts w:ascii="Times New Roman" w:hAnsi="Times New Roman" w:cs="Times New Roman"/>
          <w:sz w:val="24"/>
          <w:szCs w:val="24"/>
        </w:rPr>
        <w:t>Economic torts may arise from actions which may have caused loss in th</w:t>
      </w:r>
      <w:r>
        <w:rPr>
          <w:rFonts w:ascii="Times New Roman" w:hAnsi="Times New Roman" w:cs="Times New Roman"/>
          <w:sz w:val="24"/>
          <w:szCs w:val="24"/>
        </w:rPr>
        <w:t xml:space="preserve">e </w:t>
      </w:r>
      <w:r w:rsidRPr="005244AF">
        <w:rPr>
          <w:rFonts w:ascii="Times New Roman" w:hAnsi="Times New Roman" w:cs="Times New Roman"/>
          <w:sz w:val="24"/>
          <w:szCs w:val="24"/>
        </w:rPr>
        <w:t>plaintiff</w:t>
      </w:r>
      <w:r>
        <w:rPr>
          <w:rFonts w:ascii="Times New Roman" w:hAnsi="Times New Roman" w:cs="Times New Roman"/>
          <w:sz w:val="24"/>
          <w:szCs w:val="24"/>
        </w:rPr>
        <w:t>’s commercial transactions</w:t>
      </w:r>
      <w:r w:rsidRPr="005244AF">
        <w:rPr>
          <w:rFonts w:ascii="Times New Roman" w:hAnsi="Times New Roman" w:cs="Times New Roman"/>
          <w:sz w:val="24"/>
          <w:szCs w:val="24"/>
        </w:rPr>
        <w:t>.</w:t>
      </w:r>
      <w:r>
        <w:rPr>
          <w:rFonts w:ascii="Times New Roman" w:hAnsi="Times New Roman" w:cs="Times New Roman"/>
          <w:sz w:val="24"/>
          <w:szCs w:val="24"/>
        </w:rPr>
        <w:t xml:space="preserve"> Economic torts essentially arise from some form of economic loss.</w:t>
      </w:r>
      <w:r w:rsidRPr="005244AF">
        <w:rPr>
          <w:rFonts w:ascii="Times New Roman" w:hAnsi="Times New Roman" w:cs="Times New Roman"/>
          <w:sz w:val="24"/>
          <w:szCs w:val="24"/>
        </w:rPr>
        <w:t xml:space="preserve"> In the case of </w:t>
      </w:r>
      <w:proofErr w:type="spellStart"/>
      <w:r w:rsidRPr="005244AF">
        <w:rPr>
          <w:rFonts w:ascii="Times New Roman" w:hAnsi="Times New Roman" w:cs="Times New Roman"/>
          <w:i/>
          <w:iCs/>
          <w:sz w:val="24"/>
          <w:szCs w:val="24"/>
        </w:rPr>
        <w:t>Keeble</w:t>
      </w:r>
      <w:proofErr w:type="spellEnd"/>
      <w:r w:rsidRPr="005244AF">
        <w:rPr>
          <w:rFonts w:ascii="Times New Roman" w:hAnsi="Times New Roman" w:cs="Times New Roman"/>
          <w:i/>
          <w:iCs/>
          <w:sz w:val="24"/>
          <w:szCs w:val="24"/>
        </w:rPr>
        <w:t xml:space="preserve"> v</w:t>
      </w:r>
      <w:r>
        <w:rPr>
          <w:rFonts w:ascii="Times New Roman" w:hAnsi="Times New Roman" w:cs="Times New Roman"/>
          <w:i/>
          <w:iCs/>
          <w:sz w:val="24"/>
          <w:szCs w:val="24"/>
        </w:rPr>
        <w:t>.</w:t>
      </w:r>
      <w:r w:rsidRPr="005244AF">
        <w:rPr>
          <w:rFonts w:ascii="Times New Roman" w:hAnsi="Times New Roman" w:cs="Times New Roman"/>
          <w:i/>
          <w:iCs/>
          <w:sz w:val="24"/>
          <w:szCs w:val="24"/>
        </w:rPr>
        <w:t xml:space="preserve"> </w:t>
      </w:r>
      <w:proofErr w:type="spellStart"/>
      <w:r w:rsidRPr="005244AF">
        <w:rPr>
          <w:rFonts w:ascii="Times New Roman" w:hAnsi="Times New Roman" w:cs="Times New Roman"/>
          <w:i/>
          <w:iCs/>
          <w:sz w:val="24"/>
          <w:szCs w:val="24"/>
        </w:rPr>
        <w:t>Hickeringill</w:t>
      </w:r>
      <w:proofErr w:type="spellEnd"/>
      <w:r>
        <w:rPr>
          <w:rStyle w:val="FootnoteReference"/>
          <w:rFonts w:ascii="Times New Roman" w:hAnsi="Times New Roman" w:cs="Times New Roman"/>
          <w:i/>
          <w:iCs/>
          <w:sz w:val="24"/>
          <w:szCs w:val="24"/>
        </w:rPr>
        <w:footnoteReference w:id="1"/>
      </w:r>
      <w:r w:rsidRPr="005244AF">
        <w:rPr>
          <w:rFonts w:ascii="Times New Roman" w:hAnsi="Times New Roman" w:cs="Times New Roman"/>
          <w:i/>
          <w:iCs/>
          <w:sz w:val="24"/>
          <w:szCs w:val="24"/>
        </w:rPr>
        <w:t xml:space="preserve">  </w:t>
      </w:r>
      <w:r w:rsidRPr="005244AF">
        <w:rPr>
          <w:rFonts w:ascii="Times New Roman" w:hAnsi="Times New Roman" w:cs="Times New Roman"/>
          <w:b/>
          <w:bCs/>
          <w:sz w:val="24"/>
          <w:szCs w:val="24"/>
        </w:rPr>
        <w:t>Holt, CJ</w:t>
      </w:r>
      <w:r w:rsidRPr="005244AF">
        <w:rPr>
          <w:rFonts w:ascii="Times New Roman" w:hAnsi="Times New Roman" w:cs="Times New Roman"/>
          <w:sz w:val="24"/>
          <w:szCs w:val="24"/>
        </w:rPr>
        <w:t>, made a broad statement on the question of economic interest when he stated thus: “He that hinders another in his trade or livelihood is liable to an action for so hindering him.” The purpose of economic torts seek to ensure that businesses are protected from acts of unacceptable interference.</w:t>
      </w:r>
      <w:r>
        <w:rPr>
          <w:rFonts w:ascii="Times New Roman" w:hAnsi="Times New Roman" w:cs="Times New Roman"/>
          <w:sz w:val="24"/>
          <w:szCs w:val="24"/>
        </w:rPr>
        <w:t xml:space="preserve"> </w:t>
      </w:r>
      <w:r w:rsidRPr="00E4470E">
        <w:rPr>
          <w:rFonts w:ascii="Times New Roman" w:hAnsi="Times New Roman" w:cs="Times New Roman"/>
          <w:sz w:val="24"/>
          <w:szCs w:val="24"/>
        </w:rPr>
        <w:t>Economic torts include:</w:t>
      </w:r>
      <w:r>
        <w:rPr>
          <w:rFonts w:ascii="Times New Roman" w:hAnsi="Times New Roman" w:cs="Times New Roman"/>
          <w:sz w:val="24"/>
          <w:szCs w:val="24"/>
        </w:rPr>
        <w:t xml:space="preserve"> </w:t>
      </w:r>
      <w:r w:rsidRPr="00E4470E">
        <w:rPr>
          <w:rFonts w:ascii="Times New Roman" w:hAnsi="Times New Roman" w:cs="Times New Roman"/>
          <w:sz w:val="24"/>
          <w:szCs w:val="24"/>
        </w:rPr>
        <w:t>Passing off;</w:t>
      </w:r>
      <w:r>
        <w:rPr>
          <w:rFonts w:ascii="Times New Roman" w:hAnsi="Times New Roman" w:cs="Times New Roman"/>
          <w:sz w:val="24"/>
          <w:szCs w:val="24"/>
        </w:rPr>
        <w:t xml:space="preserve"> </w:t>
      </w:r>
      <w:r w:rsidRPr="00E4470E">
        <w:rPr>
          <w:rFonts w:ascii="Times New Roman" w:hAnsi="Times New Roman" w:cs="Times New Roman"/>
          <w:sz w:val="24"/>
          <w:szCs w:val="24"/>
        </w:rPr>
        <w:t>Breach of intellectual property rights; such as breach of copyright, patents, trademarks and other merchandise marks;</w:t>
      </w:r>
      <w:r>
        <w:rPr>
          <w:rFonts w:ascii="Times New Roman" w:hAnsi="Times New Roman" w:cs="Times New Roman"/>
          <w:sz w:val="24"/>
          <w:szCs w:val="24"/>
        </w:rPr>
        <w:t xml:space="preserve"> </w:t>
      </w:r>
      <w:r w:rsidRPr="00E4470E">
        <w:rPr>
          <w:rFonts w:ascii="Times New Roman" w:hAnsi="Times New Roman" w:cs="Times New Roman"/>
          <w:sz w:val="24"/>
          <w:szCs w:val="24"/>
        </w:rPr>
        <w:t>Injurious falsehood/Malicious falsehood</w:t>
      </w:r>
      <w:r>
        <w:rPr>
          <w:rFonts w:ascii="Times New Roman" w:hAnsi="Times New Roman" w:cs="Times New Roman"/>
          <w:sz w:val="24"/>
          <w:szCs w:val="24"/>
        </w:rPr>
        <w:t xml:space="preserve">; </w:t>
      </w:r>
      <w:r w:rsidRPr="00E4470E">
        <w:rPr>
          <w:rFonts w:ascii="Times New Roman" w:hAnsi="Times New Roman" w:cs="Times New Roman"/>
          <w:sz w:val="24"/>
          <w:szCs w:val="24"/>
        </w:rPr>
        <w:t>Interference with contracts</w:t>
      </w:r>
      <w:r>
        <w:rPr>
          <w:rFonts w:ascii="Times New Roman" w:hAnsi="Times New Roman" w:cs="Times New Roman"/>
          <w:sz w:val="24"/>
          <w:szCs w:val="24"/>
        </w:rPr>
        <w:t xml:space="preserve">; </w:t>
      </w:r>
      <w:r w:rsidRPr="00E4470E">
        <w:rPr>
          <w:rFonts w:ascii="Times New Roman" w:hAnsi="Times New Roman" w:cs="Times New Roman"/>
          <w:sz w:val="24"/>
          <w:szCs w:val="24"/>
        </w:rPr>
        <w:t>Conspiracy to interfere, that, civil conspiracy and so forth.</w:t>
      </w:r>
      <w:r>
        <w:rPr>
          <w:rFonts w:ascii="Times New Roman" w:hAnsi="Times New Roman" w:cs="Times New Roman"/>
          <w:sz w:val="24"/>
          <w:szCs w:val="24"/>
        </w:rPr>
        <w:t xml:space="preserve"> For the purpose of this paper, the writer will be discussing distinctly, the economic tort of passing off and its relevance in modern day Nigeria. </w:t>
      </w:r>
    </w:p>
    <w:p w:rsidR="00B029FA" w:rsidRDefault="00B029FA" w:rsidP="00B029FA">
      <w:pPr>
        <w:spacing w:line="360" w:lineRule="auto"/>
        <w:rPr>
          <w:rFonts w:ascii="Times New Roman" w:hAnsi="Times New Roman" w:cs="Times New Roman"/>
          <w:sz w:val="24"/>
          <w:szCs w:val="24"/>
        </w:rPr>
      </w:pPr>
    </w:p>
    <w:p w:rsidR="00B029FA" w:rsidRPr="00477064" w:rsidRDefault="00B029FA" w:rsidP="00477064">
      <w:pPr>
        <w:spacing w:line="360" w:lineRule="auto"/>
        <w:jc w:val="center"/>
        <w:rPr>
          <w:rFonts w:ascii="Times New Roman" w:hAnsi="Times New Roman" w:cs="Times New Roman"/>
          <w:b/>
          <w:sz w:val="24"/>
          <w:szCs w:val="24"/>
          <w:u w:val="single"/>
        </w:rPr>
      </w:pPr>
      <w:r w:rsidRPr="00477064">
        <w:rPr>
          <w:rFonts w:ascii="Times New Roman" w:hAnsi="Times New Roman" w:cs="Times New Roman"/>
          <w:b/>
          <w:sz w:val="24"/>
          <w:szCs w:val="24"/>
          <w:u w:val="single"/>
        </w:rPr>
        <w:t>Definition of Passing off</w:t>
      </w:r>
    </w:p>
    <w:p w:rsidR="00B029FA" w:rsidRPr="00F81349" w:rsidRDefault="00B029FA" w:rsidP="00B029FA">
      <w:pPr>
        <w:spacing w:line="360" w:lineRule="auto"/>
        <w:rPr>
          <w:rFonts w:ascii="Times New Roman" w:hAnsi="Times New Roman" w:cs="Times New Roman"/>
          <w:sz w:val="24"/>
          <w:szCs w:val="24"/>
          <w:lang w:val="en-GB"/>
        </w:rPr>
      </w:pPr>
      <w:r w:rsidRPr="00884357">
        <w:rPr>
          <w:rFonts w:ascii="Times New Roman" w:hAnsi="Times New Roman" w:cs="Times New Roman"/>
          <w:sz w:val="24"/>
          <w:szCs w:val="24"/>
        </w:rPr>
        <w:t xml:space="preserve">Passing off occurs when a person intentionally or unintentionally passes off their goods or services as those belonging to another party. This act of misrepresentation often damages the goodwill of the other party or his business, resulting in financial or reputational damage. </w:t>
      </w:r>
      <w:r>
        <w:rPr>
          <w:rFonts w:ascii="Times New Roman" w:hAnsi="Times New Roman" w:cs="Times New Roman"/>
          <w:sz w:val="24"/>
          <w:szCs w:val="24"/>
        </w:rPr>
        <w:t>The essence</w:t>
      </w:r>
      <w:r w:rsidRPr="00884357">
        <w:rPr>
          <w:rFonts w:ascii="Times New Roman" w:hAnsi="Times New Roman" w:cs="Times New Roman"/>
          <w:sz w:val="24"/>
          <w:szCs w:val="24"/>
        </w:rPr>
        <w:t xml:space="preserve"> to the conception of passing off is that the goods are in effect telling a falsehood</w:t>
      </w:r>
      <w:r>
        <w:rPr>
          <w:rFonts w:ascii="Times New Roman" w:hAnsi="Times New Roman" w:cs="Times New Roman"/>
          <w:sz w:val="24"/>
          <w:szCs w:val="24"/>
        </w:rPr>
        <w:t xml:space="preserve"> </w:t>
      </w:r>
      <w:r w:rsidRPr="00884357">
        <w:rPr>
          <w:rFonts w:ascii="Times New Roman" w:hAnsi="Times New Roman" w:cs="Times New Roman"/>
          <w:sz w:val="24"/>
          <w:szCs w:val="24"/>
        </w:rPr>
        <w:t xml:space="preserve">about themselves, are saying something about themselves which is </w:t>
      </w:r>
      <w:r w:rsidRPr="00884357">
        <w:rPr>
          <w:rFonts w:ascii="Times New Roman" w:hAnsi="Times New Roman" w:cs="Times New Roman"/>
          <w:sz w:val="24"/>
          <w:szCs w:val="24"/>
          <w:lang w:val="en-GB"/>
        </w:rPr>
        <w:t>calculated</w:t>
      </w:r>
      <w:r w:rsidRPr="00884357">
        <w:rPr>
          <w:rFonts w:ascii="Times New Roman" w:hAnsi="Times New Roman" w:cs="Times New Roman"/>
          <w:sz w:val="24"/>
          <w:szCs w:val="24"/>
        </w:rPr>
        <w:t xml:space="preserve"> to mislead. The foundation of all liability in the </w:t>
      </w:r>
      <w:r>
        <w:rPr>
          <w:rFonts w:ascii="Times New Roman" w:hAnsi="Times New Roman" w:cs="Times New Roman"/>
          <w:sz w:val="24"/>
          <w:szCs w:val="24"/>
        </w:rPr>
        <w:t xml:space="preserve">tort of </w:t>
      </w:r>
      <w:r w:rsidRPr="00884357">
        <w:rPr>
          <w:rFonts w:ascii="Times New Roman" w:hAnsi="Times New Roman" w:cs="Times New Roman"/>
          <w:sz w:val="24"/>
          <w:szCs w:val="24"/>
        </w:rPr>
        <w:t>passing off is</w:t>
      </w:r>
      <w:r>
        <w:rPr>
          <w:rFonts w:ascii="Times New Roman" w:hAnsi="Times New Roman" w:cs="Times New Roman"/>
          <w:sz w:val="24"/>
          <w:szCs w:val="24"/>
        </w:rPr>
        <w:t xml:space="preserve"> deceit and misrepresentation. U</w:t>
      </w:r>
      <w:r w:rsidRPr="00884357">
        <w:rPr>
          <w:rFonts w:ascii="Times New Roman" w:hAnsi="Times New Roman" w:cs="Times New Roman"/>
          <w:sz w:val="24"/>
          <w:szCs w:val="24"/>
        </w:rPr>
        <w:t>nlike the closely related tort of injurious falsehood, however</w:t>
      </w:r>
      <w:r>
        <w:rPr>
          <w:rFonts w:ascii="Times New Roman" w:hAnsi="Times New Roman" w:cs="Times New Roman"/>
          <w:sz w:val="24"/>
          <w:szCs w:val="24"/>
        </w:rPr>
        <w:t xml:space="preserve">, under the tort of passing off it is required that the misrepresentation </w:t>
      </w:r>
      <w:r w:rsidRPr="00884357">
        <w:rPr>
          <w:rFonts w:ascii="Times New Roman" w:hAnsi="Times New Roman" w:cs="Times New Roman"/>
          <w:sz w:val="24"/>
          <w:szCs w:val="24"/>
        </w:rPr>
        <w:t>be a relevant one</w:t>
      </w:r>
      <w:r>
        <w:rPr>
          <w:rFonts w:ascii="Times New Roman" w:hAnsi="Times New Roman" w:cs="Times New Roman"/>
          <w:sz w:val="24"/>
          <w:szCs w:val="24"/>
        </w:rPr>
        <w:t>.</w:t>
      </w:r>
      <w:r w:rsidRPr="00F10189">
        <w:rPr>
          <w:rFonts w:ascii="Times New Roman" w:hAnsi="Times New Roman" w:cs="Times New Roman"/>
          <w:sz w:val="24"/>
          <w:szCs w:val="24"/>
        </w:rPr>
        <w:t xml:space="preserve"> </w:t>
      </w:r>
      <w:r>
        <w:rPr>
          <w:rFonts w:ascii="Times New Roman" w:hAnsi="Times New Roman" w:cs="Times New Roman"/>
          <w:sz w:val="24"/>
          <w:szCs w:val="24"/>
        </w:rPr>
        <w:t>In respect of this tort</w:t>
      </w:r>
      <w:r w:rsidRPr="00F10189">
        <w:rPr>
          <w:rFonts w:ascii="Times New Roman" w:hAnsi="Times New Roman" w:cs="Times New Roman"/>
          <w:sz w:val="24"/>
          <w:szCs w:val="24"/>
        </w:rPr>
        <w:t>, it is ideal to say that it is part of a much wider canvas of legal remedies controlling unfair competitive practices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F10189">
        <w:rPr>
          <w:rFonts w:ascii="Times New Roman" w:hAnsi="Times New Roman" w:cs="Times New Roman"/>
          <w:sz w:val="24"/>
          <w:szCs w:val="24"/>
        </w:rPr>
        <w:t xml:space="preserve"> In the case of </w:t>
      </w:r>
      <w:r w:rsidRPr="00F10189">
        <w:rPr>
          <w:rFonts w:ascii="Times New Roman" w:hAnsi="Times New Roman" w:cs="Times New Roman"/>
          <w:i/>
          <w:iCs/>
          <w:sz w:val="24"/>
          <w:szCs w:val="24"/>
        </w:rPr>
        <w:lastRenderedPageBreak/>
        <w:t>Perry v</w:t>
      </w:r>
      <w:r>
        <w:rPr>
          <w:rFonts w:ascii="Times New Roman" w:hAnsi="Times New Roman" w:cs="Times New Roman"/>
          <w:i/>
          <w:iCs/>
          <w:sz w:val="24"/>
          <w:szCs w:val="24"/>
        </w:rPr>
        <w:t>.</w:t>
      </w:r>
      <w:r w:rsidRPr="00F10189">
        <w:rPr>
          <w:rFonts w:ascii="Times New Roman" w:hAnsi="Times New Roman" w:cs="Times New Roman"/>
          <w:i/>
          <w:iCs/>
          <w:sz w:val="24"/>
          <w:szCs w:val="24"/>
        </w:rPr>
        <w:t xml:space="preserve"> </w:t>
      </w:r>
      <w:proofErr w:type="spellStart"/>
      <w:r w:rsidRPr="00F10189">
        <w:rPr>
          <w:rFonts w:ascii="Times New Roman" w:hAnsi="Times New Roman" w:cs="Times New Roman"/>
          <w:i/>
          <w:iCs/>
          <w:sz w:val="24"/>
          <w:szCs w:val="24"/>
        </w:rPr>
        <w:t>Truefitt</w:t>
      </w:r>
      <w:proofErr w:type="spellEnd"/>
      <w:r>
        <w:rPr>
          <w:rStyle w:val="FootnoteReference"/>
          <w:rFonts w:ascii="Times New Roman" w:hAnsi="Times New Roman" w:cs="Times New Roman"/>
          <w:i/>
          <w:iCs/>
          <w:sz w:val="24"/>
          <w:szCs w:val="24"/>
        </w:rPr>
        <w:footnoteReference w:id="3"/>
      </w:r>
      <w:r w:rsidRPr="00F10189">
        <w:rPr>
          <w:rFonts w:ascii="Times New Roman" w:hAnsi="Times New Roman" w:cs="Times New Roman"/>
          <w:i/>
          <w:iCs/>
          <w:sz w:val="24"/>
          <w:szCs w:val="24"/>
        </w:rPr>
        <w:t xml:space="preserve"> </w:t>
      </w:r>
      <w:r>
        <w:rPr>
          <w:rFonts w:ascii="Times New Roman" w:hAnsi="Times New Roman" w:cs="Times New Roman"/>
          <w:b/>
          <w:bCs/>
          <w:sz w:val="24"/>
          <w:szCs w:val="24"/>
        </w:rPr>
        <w:t xml:space="preserve">Lord </w:t>
      </w:r>
      <w:proofErr w:type="spellStart"/>
      <w:r>
        <w:rPr>
          <w:rFonts w:ascii="Times New Roman" w:hAnsi="Times New Roman" w:cs="Times New Roman"/>
          <w:b/>
          <w:bCs/>
          <w:sz w:val="24"/>
          <w:szCs w:val="24"/>
        </w:rPr>
        <w:t>Langdale</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 xml:space="preserve">in </w:t>
      </w:r>
      <w:r w:rsidRPr="00F10189">
        <w:rPr>
          <w:rFonts w:ascii="Times New Roman" w:hAnsi="Times New Roman" w:cs="Times New Roman"/>
          <w:sz w:val="24"/>
          <w:szCs w:val="24"/>
        </w:rPr>
        <w:t>explaining the</w:t>
      </w:r>
      <w:r>
        <w:rPr>
          <w:rFonts w:ascii="Times New Roman" w:hAnsi="Times New Roman" w:cs="Times New Roman"/>
          <w:sz w:val="24"/>
          <w:szCs w:val="24"/>
        </w:rPr>
        <w:t xml:space="preserve"> tort of passing off stated that</w:t>
      </w:r>
      <w:r w:rsidRPr="00F10189">
        <w:rPr>
          <w:rFonts w:ascii="Times New Roman" w:hAnsi="Times New Roman" w:cs="Times New Roman"/>
          <w:sz w:val="24"/>
          <w:szCs w:val="24"/>
        </w:rPr>
        <w:t xml:space="preserve">: “A man is not to sell his own goods under the </w:t>
      </w:r>
      <w:r w:rsidRPr="00F10189">
        <w:rPr>
          <w:rFonts w:ascii="Times New Roman" w:hAnsi="Times New Roman" w:cs="Times New Roman"/>
          <w:sz w:val="24"/>
          <w:szCs w:val="24"/>
          <w:lang w:val="en-GB"/>
        </w:rPr>
        <w:t>pretence</w:t>
      </w:r>
      <w:r w:rsidRPr="00F10189">
        <w:rPr>
          <w:rFonts w:ascii="Times New Roman" w:hAnsi="Times New Roman" w:cs="Times New Roman"/>
          <w:sz w:val="24"/>
          <w:szCs w:val="24"/>
        </w:rPr>
        <w:t xml:space="preserve"> that they are the goods of another person; he cannot be permitted to practice such a deception, nor to use the means which</w:t>
      </w:r>
      <w:r>
        <w:rPr>
          <w:rFonts w:ascii="Times New Roman" w:hAnsi="Times New Roman" w:cs="Times New Roman"/>
          <w:sz w:val="24"/>
          <w:szCs w:val="24"/>
        </w:rPr>
        <w:t xml:space="preserve"> contribute to that end” Passing off essentially protects the goodwill of a trader from misrepresentation. It protects traders from the unfair form of competition that stems from misleading the market to claiming benefits for oneself on the reputation of another trader. I</w:t>
      </w:r>
      <w:r w:rsidRPr="00F754E1">
        <w:rPr>
          <w:rFonts w:ascii="Times New Roman" w:hAnsi="Times New Roman" w:cs="Times New Roman"/>
          <w:sz w:val="24"/>
          <w:szCs w:val="24"/>
        </w:rPr>
        <w:t xml:space="preserve">n the famous case of </w:t>
      </w:r>
      <w:r w:rsidRPr="00F754E1">
        <w:rPr>
          <w:rFonts w:ascii="Times New Roman" w:hAnsi="Times New Roman" w:cs="Times New Roman"/>
          <w:i/>
          <w:iCs/>
          <w:sz w:val="24"/>
          <w:szCs w:val="24"/>
        </w:rPr>
        <w:t xml:space="preserve">N. R. </w:t>
      </w:r>
      <w:proofErr w:type="spellStart"/>
      <w:r w:rsidRPr="00F754E1">
        <w:rPr>
          <w:rFonts w:ascii="Times New Roman" w:hAnsi="Times New Roman" w:cs="Times New Roman"/>
          <w:i/>
          <w:iCs/>
          <w:sz w:val="24"/>
          <w:szCs w:val="24"/>
        </w:rPr>
        <w:t>Dongre</w:t>
      </w:r>
      <w:proofErr w:type="spellEnd"/>
      <w:r w:rsidRPr="00F754E1">
        <w:rPr>
          <w:rFonts w:ascii="Times New Roman" w:hAnsi="Times New Roman" w:cs="Times New Roman"/>
          <w:i/>
          <w:iCs/>
          <w:sz w:val="24"/>
          <w:szCs w:val="24"/>
        </w:rPr>
        <w:t xml:space="preserve"> v</w:t>
      </w:r>
      <w:r>
        <w:rPr>
          <w:rFonts w:ascii="Times New Roman" w:hAnsi="Times New Roman" w:cs="Times New Roman"/>
          <w:i/>
          <w:iCs/>
          <w:sz w:val="24"/>
          <w:szCs w:val="24"/>
        </w:rPr>
        <w:t>.</w:t>
      </w:r>
      <w:r w:rsidRPr="00F754E1">
        <w:rPr>
          <w:rFonts w:ascii="Times New Roman" w:hAnsi="Times New Roman" w:cs="Times New Roman"/>
          <w:i/>
          <w:iCs/>
          <w:sz w:val="24"/>
          <w:szCs w:val="24"/>
        </w:rPr>
        <w:t xml:space="preserve"> Whirlpool Corporation</w:t>
      </w:r>
      <w:r>
        <w:rPr>
          <w:rStyle w:val="FootnoteReference"/>
          <w:rFonts w:ascii="Times New Roman" w:hAnsi="Times New Roman" w:cs="Times New Roman"/>
          <w:i/>
          <w:iCs/>
          <w:sz w:val="24"/>
          <w:szCs w:val="24"/>
        </w:rPr>
        <w:footnoteReference w:id="4"/>
      </w:r>
      <w:r w:rsidRPr="00F754E1">
        <w:rPr>
          <w:rFonts w:ascii="Times New Roman" w:hAnsi="Times New Roman" w:cs="Times New Roman"/>
          <w:i/>
          <w:iCs/>
          <w:sz w:val="24"/>
          <w:szCs w:val="24"/>
        </w:rPr>
        <w:t xml:space="preserve"> </w:t>
      </w:r>
      <w:r w:rsidRPr="00F754E1">
        <w:rPr>
          <w:rFonts w:ascii="Times New Roman" w:hAnsi="Times New Roman" w:cs="Times New Roman"/>
          <w:sz w:val="24"/>
          <w:szCs w:val="24"/>
        </w:rPr>
        <w:t xml:space="preserve">it was held that a man may not sell his own goods under the </w:t>
      </w:r>
      <w:r w:rsidRPr="00F754E1">
        <w:rPr>
          <w:rFonts w:ascii="Times New Roman" w:hAnsi="Times New Roman" w:cs="Times New Roman"/>
          <w:sz w:val="24"/>
          <w:szCs w:val="24"/>
          <w:lang w:val="en-GB"/>
        </w:rPr>
        <w:t>pretence</w:t>
      </w:r>
      <w:r w:rsidRPr="00F754E1">
        <w:rPr>
          <w:rFonts w:ascii="Times New Roman" w:hAnsi="Times New Roman" w:cs="Times New Roman"/>
          <w:sz w:val="24"/>
          <w:szCs w:val="24"/>
        </w:rPr>
        <w:t xml:space="preserve"> that they are the goods of another man.</w:t>
      </w:r>
    </w:p>
    <w:p w:rsidR="00B029FA" w:rsidRDefault="00B029FA" w:rsidP="00B029FA">
      <w:pPr>
        <w:spacing w:line="360" w:lineRule="auto"/>
        <w:rPr>
          <w:rFonts w:ascii="Times New Roman" w:hAnsi="Times New Roman" w:cs="Times New Roman"/>
          <w:sz w:val="24"/>
          <w:szCs w:val="24"/>
        </w:rPr>
      </w:pPr>
      <w:r>
        <w:rPr>
          <w:rFonts w:ascii="Times New Roman" w:hAnsi="Times New Roman" w:cs="Times New Roman"/>
          <w:sz w:val="24"/>
          <w:szCs w:val="24"/>
        </w:rPr>
        <w:t>T</w:t>
      </w:r>
      <w:r w:rsidRPr="00F81349">
        <w:rPr>
          <w:rFonts w:ascii="Times New Roman" w:hAnsi="Times New Roman" w:cs="Times New Roman"/>
          <w:sz w:val="24"/>
          <w:szCs w:val="24"/>
        </w:rPr>
        <w:t xml:space="preserve">his tort aims to protect the right of property that </w:t>
      </w:r>
      <w:r>
        <w:rPr>
          <w:rFonts w:ascii="Times New Roman" w:hAnsi="Times New Roman" w:cs="Times New Roman"/>
          <w:sz w:val="24"/>
          <w:szCs w:val="24"/>
        </w:rPr>
        <w:t>exists in goodwill. Goodwill can be defined essentially</w:t>
      </w:r>
      <w:r w:rsidRPr="00F81349">
        <w:rPr>
          <w:rFonts w:ascii="Times New Roman" w:hAnsi="Times New Roman" w:cs="Times New Roman"/>
          <w:sz w:val="24"/>
          <w:szCs w:val="24"/>
        </w:rPr>
        <w:t xml:space="preserve"> as the part of business value over and above the value of identifiable</w:t>
      </w:r>
      <w:r>
        <w:rPr>
          <w:rFonts w:ascii="Times New Roman" w:hAnsi="Times New Roman" w:cs="Times New Roman"/>
          <w:sz w:val="24"/>
          <w:szCs w:val="24"/>
        </w:rPr>
        <w:t xml:space="preserve"> business assets. I</w:t>
      </w:r>
      <w:r w:rsidRPr="00F81349">
        <w:rPr>
          <w:rFonts w:ascii="Times New Roman" w:hAnsi="Times New Roman" w:cs="Times New Roman"/>
          <w:sz w:val="24"/>
          <w:szCs w:val="24"/>
        </w:rPr>
        <w:t xml:space="preserve">t is an intangible asset. It enables a business to continue to earn a profit that is in excess of the normal or basic rate of profit earned by other businesses of similar type. It might be due to a particularly </w:t>
      </w:r>
      <w:r w:rsidRPr="00F81349">
        <w:rPr>
          <w:rFonts w:ascii="Times New Roman" w:hAnsi="Times New Roman" w:cs="Times New Roman"/>
          <w:sz w:val="24"/>
          <w:szCs w:val="24"/>
          <w:lang w:val="en-GB"/>
        </w:rPr>
        <w:t>favourable</w:t>
      </w:r>
      <w:r w:rsidRPr="00F81349">
        <w:rPr>
          <w:rFonts w:ascii="Times New Roman" w:hAnsi="Times New Roman" w:cs="Times New Roman"/>
          <w:sz w:val="24"/>
          <w:szCs w:val="24"/>
        </w:rPr>
        <w:t xml:space="preserve"> location, reputation of the brand in the community, or the quality of its employer and employees. The value of goodwill of a brand can be calculated by a number of methods, like subtracting the value of all tangible assets from the total value to establish the value of the intangible assets</w:t>
      </w:r>
      <w:r>
        <w:rPr>
          <w:rFonts w:ascii="Times New Roman" w:hAnsi="Times New Roman" w:cs="Times New Roman"/>
          <w:sz w:val="24"/>
          <w:szCs w:val="24"/>
        </w:rPr>
        <w:t>.</w:t>
      </w:r>
      <w:r w:rsidRPr="00F81349">
        <w:rPr>
          <w:rFonts w:ascii="Times New Roman" w:hAnsi="Times New Roman" w:cs="Times New Roman"/>
          <w:sz w:val="24"/>
          <w:szCs w:val="24"/>
        </w:rPr>
        <w:t xml:space="preserve"> Goodwill can be classified into two zones, viz. institutional goodwill and professional practice goodwill. While institutional goodwill associates itself with business houses, their market position, p</w:t>
      </w:r>
      <w:r>
        <w:rPr>
          <w:rFonts w:ascii="Times New Roman" w:hAnsi="Times New Roman" w:cs="Times New Roman"/>
          <w:sz w:val="24"/>
          <w:szCs w:val="24"/>
        </w:rPr>
        <w:t>rofessional practice goodwill</w:t>
      </w:r>
      <w:r w:rsidRPr="00F81349">
        <w:rPr>
          <w:rFonts w:ascii="Times New Roman" w:hAnsi="Times New Roman" w:cs="Times New Roman"/>
          <w:sz w:val="24"/>
          <w:szCs w:val="24"/>
        </w:rPr>
        <w:t xml:space="preserve"> associates itself with professional practices like law, medicine, architecture, engineering and many others.</w:t>
      </w:r>
      <w:r>
        <w:rPr>
          <w:rStyle w:val="FootnoteReference"/>
          <w:rFonts w:ascii="Times New Roman" w:hAnsi="Times New Roman" w:cs="Times New Roman"/>
          <w:sz w:val="24"/>
          <w:szCs w:val="24"/>
        </w:rPr>
        <w:footnoteReference w:id="5"/>
      </w:r>
    </w:p>
    <w:p w:rsidR="00477064" w:rsidRDefault="00477064" w:rsidP="00B029FA">
      <w:pPr>
        <w:spacing w:line="360" w:lineRule="auto"/>
        <w:rPr>
          <w:rFonts w:ascii="Times New Roman" w:hAnsi="Times New Roman" w:cs="Times New Roman"/>
          <w:sz w:val="24"/>
          <w:szCs w:val="24"/>
        </w:rPr>
      </w:pPr>
    </w:p>
    <w:p w:rsidR="00B029FA" w:rsidRPr="00477064" w:rsidRDefault="00B029FA" w:rsidP="00477064">
      <w:pPr>
        <w:spacing w:line="360" w:lineRule="auto"/>
        <w:jc w:val="center"/>
        <w:rPr>
          <w:rFonts w:ascii="Times New Roman" w:hAnsi="Times New Roman" w:cs="Times New Roman"/>
          <w:b/>
          <w:sz w:val="24"/>
          <w:szCs w:val="24"/>
          <w:u w:val="single"/>
        </w:rPr>
      </w:pPr>
      <w:r w:rsidRPr="00477064">
        <w:rPr>
          <w:rFonts w:ascii="Times New Roman" w:hAnsi="Times New Roman" w:cs="Times New Roman"/>
          <w:b/>
          <w:sz w:val="24"/>
          <w:szCs w:val="24"/>
          <w:u w:val="single"/>
        </w:rPr>
        <w:t>Forms of Passing off</w:t>
      </w:r>
    </w:p>
    <w:p w:rsidR="00B029FA" w:rsidRDefault="00B029FA" w:rsidP="00B029FA">
      <w:pPr>
        <w:spacing w:line="360" w:lineRule="auto"/>
        <w:rPr>
          <w:rFonts w:ascii="Times New Roman" w:hAnsi="Times New Roman" w:cs="Times New Roman"/>
          <w:sz w:val="24"/>
          <w:szCs w:val="24"/>
        </w:rPr>
      </w:pPr>
      <w:r>
        <w:rPr>
          <w:rFonts w:ascii="Times New Roman" w:hAnsi="Times New Roman" w:cs="Times New Roman"/>
          <w:sz w:val="24"/>
          <w:szCs w:val="24"/>
        </w:rPr>
        <w:t>The most common form of passing off are as follows:</w:t>
      </w:r>
    </w:p>
    <w:p w:rsidR="00B029FA" w:rsidRPr="00477064" w:rsidRDefault="00B029FA" w:rsidP="00B029FA">
      <w:pPr>
        <w:pStyle w:val="ListParagraph"/>
        <w:numPr>
          <w:ilvl w:val="0"/>
          <w:numId w:val="1"/>
        </w:numPr>
        <w:spacing w:line="360" w:lineRule="auto"/>
        <w:rPr>
          <w:rFonts w:ascii="Times New Roman" w:hAnsi="Times New Roman" w:cs="Times New Roman"/>
          <w:b/>
          <w:sz w:val="24"/>
          <w:szCs w:val="24"/>
          <w:lang w:val="en-US"/>
        </w:rPr>
      </w:pPr>
      <w:r w:rsidRPr="00477064">
        <w:rPr>
          <w:rFonts w:ascii="Times New Roman" w:hAnsi="Times New Roman" w:cs="Times New Roman"/>
          <w:b/>
          <w:sz w:val="24"/>
          <w:szCs w:val="24"/>
          <w:lang w:val="en-US"/>
        </w:rPr>
        <w:t xml:space="preserve">Trading with a name resembling that of the plaintiff. </w:t>
      </w:r>
    </w:p>
    <w:p w:rsidR="00B029FA" w:rsidRPr="00F81349" w:rsidRDefault="00B029FA" w:rsidP="00B029FA">
      <w:pPr>
        <w:spacing w:line="360" w:lineRule="auto"/>
        <w:rPr>
          <w:rFonts w:ascii="Times New Roman" w:hAnsi="Times New Roman" w:cs="Times New Roman"/>
          <w:sz w:val="24"/>
          <w:szCs w:val="24"/>
        </w:rPr>
      </w:pPr>
      <w:r w:rsidRPr="00531F7A">
        <w:rPr>
          <w:rFonts w:ascii="Times New Roman" w:hAnsi="Times New Roman" w:cs="Times New Roman"/>
          <w:sz w:val="24"/>
          <w:szCs w:val="24"/>
        </w:rPr>
        <w:t>This is where the defendant is engaged in the same type of busine</w:t>
      </w:r>
      <w:r w:rsidR="000D3C14">
        <w:rPr>
          <w:rFonts w:ascii="Times New Roman" w:hAnsi="Times New Roman" w:cs="Times New Roman"/>
          <w:sz w:val="24"/>
          <w:szCs w:val="24"/>
        </w:rPr>
        <w:t>ss as the plaintiff and uses a name</w:t>
      </w:r>
      <w:r w:rsidRPr="00531F7A">
        <w:rPr>
          <w:rFonts w:ascii="Times New Roman" w:hAnsi="Times New Roman" w:cs="Times New Roman"/>
          <w:sz w:val="24"/>
          <w:szCs w:val="24"/>
        </w:rPr>
        <w:t xml:space="preserve"> </w:t>
      </w:r>
      <w:r>
        <w:rPr>
          <w:rFonts w:ascii="Times New Roman" w:hAnsi="Times New Roman" w:cs="Times New Roman"/>
          <w:sz w:val="24"/>
          <w:szCs w:val="24"/>
        </w:rPr>
        <w:t>bearing close resemblance to</w:t>
      </w:r>
      <w:r w:rsidRPr="00531F7A">
        <w:rPr>
          <w:rFonts w:ascii="Times New Roman" w:hAnsi="Times New Roman" w:cs="Times New Roman"/>
          <w:sz w:val="24"/>
          <w:szCs w:val="24"/>
        </w:rPr>
        <w:t xml:space="preserve"> that of the plaintiff in order to mislead the public into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believing that his </w:t>
      </w:r>
      <w:r w:rsidRPr="00531F7A">
        <w:rPr>
          <w:rFonts w:ascii="Times New Roman" w:hAnsi="Times New Roman" w:cs="Times New Roman"/>
          <w:sz w:val="24"/>
          <w:szCs w:val="24"/>
        </w:rPr>
        <w:t>product/business a</w:t>
      </w:r>
      <w:r>
        <w:rPr>
          <w:rFonts w:ascii="Times New Roman" w:hAnsi="Times New Roman" w:cs="Times New Roman"/>
          <w:sz w:val="24"/>
          <w:szCs w:val="24"/>
        </w:rPr>
        <w:t xml:space="preserve">nd that of the plaintiff are </w:t>
      </w:r>
      <w:r w:rsidRPr="00531F7A">
        <w:rPr>
          <w:rFonts w:ascii="Times New Roman" w:hAnsi="Times New Roman" w:cs="Times New Roman"/>
          <w:sz w:val="24"/>
          <w:szCs w:val="24"/>
        </w:rPr>
        <w:t>the same.</w:t>
      </w:r>
      <w:r>
        <w:rPr>
          <w:rFonts w:ascii="Times New Roman" w:hAnsi="Times New Roman" w:cs="Times New Roman"/>
          <w:sz w:val="24"/>
          <w:szCs w:val="24"/>
        </w:rPr>
        <w:t xml:space="preserve"> In </w:t>
      </w:r>
      <w:r w:rsidRPr="00531F7A">
        <w:rPr>
          <w:rFonts w:ascii="Times New Roman" w:hAnsi="Times New Roman" w:cs="Times New Roman"/>
          <w:i/>
          <w:sz w:val="24"/>
          <w:szCs w:val="24"/>
        </w:rPr>
        <w:t>Niger Chemists ltd v</w:t>
      </w:r>
      <w:r>
        <w:rPr>
          <w:rFonts w:ascii="Times New Roman" w:hAnsi="Times New Roman" w:cs="Times New Roman"/>
          <w:i/>
          <w:sz w:val="24"/>
          <w:szCs w:val="24"/>
        </w:rPr>
        <w:t>.</w:t>
      </w:r>
      <w:r w:rsidRPr="00531F7A">
        <w:rPr>
          <w:rFonts w:ascii="Times New Roman" w:hAnsi="Times New Roman" w:cs="Times New Roman"/>
          <w:i/>
          <w:sz w:val="24"/>
          <w:szCs w:val="24"/>
        </w:rPr>
        <w:t xml:space="preserve"> Nigeria Chemist</w:t>
      </w:r>
      <w:r>
        <w:rPr>
          <w:rStyle w:val="FootnoteReference"/>
          <w:rFonts w:ascii="Times New Roman" w:hAnsi="Times New Roman" w:cs="Times New Roman"/>
          <w:i/>
          <w:sz w:val="24"/>
          <w:szCs w:val="24"/>
        </w:rPr>
        <w:footnoteReference w:id="6"/>
      </w:r>
      <w:r>
        <w:rPr>
          <w:rFonts w:ascii="Times New Roman" w:hAnsi="Times New Roman" w:cs="Times New Roman"/>
          <w:sz w:val="24"/>
          <w:szCs w:val="24"/>
        </w:rPr>
        <w:t xml:space="preserve"> the court held that; “</w:t>
      </w:r>
      <w:r w:rsidRPr="00531F7A">
        <w:rPr>
          <w:rFonts w:ascii="Times New Roman" w:hAnsi="Times New Roman" w:cs="Times New Roman"/>
          <w:sz w:val="24"/>
          <w:szCs w:val="24"/>
        </w:rPr>
        <w:t>it is a matter of common sense that when two firms trade in the same town, in the same street and in the same line of business, one calling itself ‘Niger Chemist’ and the other ‘Nigeria Chemists,’ there must be a grave risk of confusion and deception.</w:t>
      </w:r>
      <w:r>
        <w:rPr>
          <w:rFonts w:ascii="Times New Roman" w:hAnsi="Times New Roman" w:cs="Times New Roman"/>
          <w:sz w:val="24"/>
          <w:szCs w:val="24"/>
        </w:rPr>
        <w:t>” A similar decision was reached in Hendricks v. Montague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w:t>
      </w:r>
      <w:proofErr w:type="spellStart"/>
      <w:r>
        <w:rPr>
          <w:rFonts w:ascii="Times New Roman" w:hAnsi="Times New Roman" w:cs="Times New Roman"/>
          <w:sz w:val="24"/>
          <w:szCs w:val="24"/>
        </w:rPr>
        <w:t>Ogunlende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Babayemi</w:t>
      </w:r>
      <w:proofErr w:type="spellEnd"/>
      <w:r>
        <w:rPr>
          <w:rStyle w:val="FootnoteReference"/>
          <w:rFonts w:ascii="Times New Roman" w:hAnsi="Times New Roman" w:cs="Times New Roman"/>
          <w:sz w:val="24"/>
          <w:szCs w:val="24"/>
        </w:rPr>
        <w:footnoteReference w:id="8"/>
      </w:r>
    </w:p>
    <w:p w:rsidR="00B029FA" w:rsidRPr="00477064" w:rsidRDefault="00B029FA" w:rsidP="00B029FA">
      <w:pPr>
        <w:pStyle w:val="ListParagraph"/>
        <w:numPr>
          <w:ilvl w:val="0"/>
          <w:numId w:val="1"/>
        </w:numPr>
        <w:spacing w:line="360" w:lineRule="auto"/>
        <w:rPr>
          <w:rFonts w:ascii="Times New Roman" w:hAnsi="Times New Roman" w:cs="Times New Roman"/>
          <w:b/>
          <w:sz w:val="24"/>
          <w:szCs w:val="24"/>
          <w:lang w:val="en-US"/>
        </w:rPr>
      </w:pPr>
      <w:r w:rsidRPr="00477064">
        <w:rPr>
          <w:rFonts w:ascii="Times New Roman" w:hAnsi="Times New Roman" w:cs="Times New Roman"/>
          <w:b/>
          <w:sz w:val="24"/>
          <w:szCs w:val="24"/>
          <w:lang w:val="en-US"/>
        </w:rPr>
        <w:t>Marketing a fake product as that of the plaintiff b</w:t>
      </w:r>
      <w:r w:rsidR="00477064">
        <w:rPr>
          <w:rFonts w:ascii="Times New Roman" w:hAnsi="Times New Roman" w:cs="Times New Roman"/>
          <w:b/>
          <w:sz w:val="24"/>
          <w:szCs w:val="24"/>
          <w:lang w:val="en-US"/>
        </w:rPr>
        <w:t>y using the plaintiff’s label</w:t>
      </w:r>
      <w:r w:rsidRPr="00477064">
        <w:rPr>
          <w:rFonts w:ascii="Times New Roman" w:hAnsi="Times New Roman" w:cs="Times New Roman"/>
          <w:b/>
          <w:sz w:val="24"/>
          <w:szCs w:val="24"/>
          <w:lang w:val="en-US"/>
        </w:rPr>
        <w:t xml:space="preserve">. </w:t>
      </w:r>
    </w:p>
    <w:p w:rsidR="00B029FA" w:rsidRPr="00F81349" w:rsidRDefault="00B029FA" w:rsidP="00B029F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where the defendant </w:t>
      </w:r>
      <w:r w:rsidRPr="00D97E5B">
        <w:rPr>
          <w:rFonts w:ascii="Times New Roman" w:hAnsi="Times New Roman" w:cs="Times New Roman"/>
          <w:sz w:val="24"/>
          <w:szCs w:val="24"/>
        </w:rPr>
        <w:t>sell</w:t>
      </w:r>
      <w:r>
        <w:rPr>
          <w:rFonts w:ascii="Times New Roman" w:hAnsi="Times New Roman" w:cs="Times New Roman"/>
          <w:sz w:val="24"/>
          <w:szCs w:val="24"/>
        </w:rPr>
        <w:t>s</w:t>
      </w:r>
      <w:r w:rsidRPr="00D97E5B">
        <w:rPr>
          <w:rFonts w:ascii="Times New Roman" w:hAnsi="Times New Roman" w:cs="Times New Roman"/>
          <w:sz w:val="24"/>
          <w:szCs w:val="24"/>
        </w:rPr>
        <w:t xml:space="preserve"> his goods with a direct statement that the goods are manufactured by the plaintiff, whereas they are not</w:t>
      </w:r>
      <w:r>
        <w:rPr>
          <w:rFonts w:ascii="Times New Roman" w:hAnsi="Times New Roman" w:cs="Times New Roman"/>
          <w:sz w:val="24"/>
          <w:szCs w:val="24"/>
        </w:rPr>
        <w:t>. In the case of Byron v. Johnston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D97E5B">
        <w:rPr>
          <w:rFonts w:ascii="Times New Roman" w:hAnsi="Times New Roman" w:cs="Times New Roman"/>
          <w:sz w:val="24"/>
          <w:szCs w:val="24"/>
        </w:rPr>
        <w:t>was held actionable for a book publisher to advertise and sell a book of poems with the name of Lord Bryon on the title page, when in fact that famous poet had nothing to do with its authorship.</w:t>
      </w:r>
    </w:p>
    <w:p w:rsidR="00B029FA" w:rsidRPr="00477064" w:rsidRDefault="00B029FA" w:rsidP="00B029FA">
      <w:pPr>
        <w:pStyle w:val="ListParagraph"/>
        <w:numPr>
          <w:ilvl w:val="0"/>
          <w:numId w:val="1"/>
        </w:numPr>
        <w:spacing w:line="360" w:lineRule="auto"/>
        <w:rPr>
          <w:rFonts w:ascii="Times New Roman" w:hAnsi="Times New Roman" w:cs="Times New Roman"/>
          <w:b/>
          <w:sz w:val="24"/>
          <w:szCs w:val="24"/>
          <w:lang w:val="en-US"/>
        </w:rPr>
      </w:pPr>
      <w:r w:rsidRPr="00477064">
        <w:rPr>
          <w:rFonts w:ascii="Times New Roman" w:hAnsi="Times New Roman" w:cs="Times New Roman"/>
          <w:b/>
          <w:sz w:val="24"/>
          <w:szCs w:val="24"/>
          <w:lang w:val="en-US"/>
        </w:rPr>
        <w:t xml:space="preserve">Marketing products with the plaintiff trademark or its imitation. </w:t>
      </w:r>
    </w:p>
    <w:p w:rsidR="00B029FA" w:rsidRPr="00F81349" w:rsidRDefault="00B029FA" w:rsidP="00B029FA">
      <w:pPr>
        <w:spacing w:line="360" w:lineRule="auto"/>
        <w:rPr>
          <w:rFonts w:ascii="Times New Roman" w:hAnsi="Times New Roman" w:cs="Times New Roman"/>
          <w:sz w:val="24"/>
          <w:szCs w:val="24"/>
        </w:rPr>
      </w:pPr>
      <w:r w:rsidRPr="00C30AC8">
        <w:rPr>
          <w:rFonts w:ascii="Times New Roman" w:hAnsi="Times New Roman" w:cs="Times New Roman"/>
          <w:sz w:val="24"/>
          <w:szCs w:val="24"/>
        </w:rPr>
        <w:t xml:space="preserve">This occurs where the defendant markets his goods using the plaintiff’s trademark or an imitation of it. Thus leading to a confusion of the buyers, who then purchase his product thinking that they are the product of the plaintiff. A trade mark is any design, picture, mark, name or other arrangement fixed to goods </w:t>
      </w:r>
      <w:r>
        <w:rPr>
          <w:rFonts w:ascii="Times New Roman" w:hAnsi="Times New Roman" w:cs="Times New Roman"/>
          <w:sz w:val="24"/>
          <w:szCs w:val="24"/>
        </w:rPr>
        <w:t xml:space="preserve">in order to identify them as belonging to the manufacturer or seller. </w:t>
      </w:r>
      <w:r w:rsidRPr="00C30AC8">
        <w:rPr>
          <w:rFonts w:ascii="Times New Roman" w:hAnsi="Times New Roman" w:cs="Times New Roman"/>
          <w:sz w:val="24"/>
          <w:szCs w:val="24"/>
        </w:rPr>
        <w:t>Trademarks</w:t>
      </w:r>
      <w:r>
        <w:rPr>
          <w:rFonts w:ascii="Times New Roman" w:hAnsi="Times New Roman" w:cs="Times New Roman"/>
          <w:sz w:val="24"/>
          <w:szCs w:val="24"/>
        </w:rPr>
        <w:t xml:space="preserve"> are usually registered and</w:t>
      </w:r>
      <w:r w:rsidRPr="00C30AC8">
        <w:rPr>
          <w:rFonts w:ascii="Times New Roman" w:hAnsi="Times New Roman" w:cs="Times New Roman"/>
          <w:sz w:val="24"/>
          <w:szCs w:val="24"/>
        </w:rPr>
        <w:t xml:space="preserve"> protected under the </w:t>
      </w:r>
      <w:r w:rsidRPr="00C30AC8">
        <w:rPr>
          <w:rFonts w:ascii="Times New Roman" w:hAnsi="Times New Roman" w:cs="Times New Roman"/>
          <w:b/>
          <w:bCs/>
          <w:i/>
          <w:iCs/>
          <w:sz w:val="24"/>
          <w:szCs w:val="24"/>
        </w:rPr>
        <w:t>Merchandise Marks Act 2004</w:t>
      </w:r>
      <w:r w:rsidRPr="00C30AC8">
        <w:rPr>
          <w:rFonts w:ascii="Times New Roman" w:hAnsi="Times New Roman" w:cs="Times New Roman"/>
          <w:sz w:val="24"/>
          <w:szCs w:val="24"/>
        </w:rPr>
        <w:t>.</w:t>
      </w:r>
      <w:r>
        <w:rPr>
          <w:rFonts w:ascii="Times New Roman" w:hAnsi="Times New Roman" w:cs="Times New Roman"/>
          <w:sz w:val="24"/>
          <w:szCs w:val="24"/>
        </w:rPr>
        <w:t xml:space="preserve"> In </w:t>
      </w:r>
      <w:r w:rsidRPr="00C30AC8">
        <w:rPr>
          <w:rFonts w:ascii="Times New Roman" w:hAnsi="Times New Roman" w:cs="Times New Roman"/>
          <w:bCs/>
          <w:i/>
          <w:iCs/>
          <w:sz w:val="24"/>
          <w:szCs w:val="24"/>
        </w:rPr>
        <w:t xml:space="preserve">Perry v. </w:t>
      </w:r>
      <w:proofErr w:type="spellStart"/>
      <w:r w:rsidRPr="00C30AC8">
        <w:rPr>
          <w:rFonts w:ascii="Times New Roman" w:hAnsi="Times New Roman" w:cs="Times New Roman"/>
          <w:bCs/>
          <w:i/>
          <w:iCs/>
          <w:sz w:val="24"/>
          <w:szCs w:val="24"/>
        </w:rPr>
        <w:t>Truefitt</w:t>
      </w:r>
      <w:proofErr w:type="spellEnd"/>
      <w:r>
        <w:rPr>
          <w:rStyle w:val="FootnoteReference"/>
          <w:rFonts w:ascii="Times New Roman" w:hAnsi="Times New Roman" w:cs="Times New Roman"/>
          <w:bCs/>
          <w:i/>
          <w:iCs/>
          <w:sz w:val="24"/>
          <w:szCs w:val="24"/>
        </w:rPr>
        <w:footnoteReference w:id="10"/>
      </w:r>
      <w:r>
        <w:rPr>
          <w:rFonts w:ascii="Times New Roman" w:hAnsi="Times New Roman" w:cs="Times New Roman"/>
          <w:sz w:val="24"/>
          <w:szCs w:val="24"/>
        </w:rPr>
        <w:t xml:space="preserve"> </w:t>
      </w:r>
      <w:r w:rsidRPr="00C30AC8">
        <w:rPr>
          <w:rFonts w:ascii="Times New Roman" w:hAnsi="Times New Roman" w:cs="Times New Roman"/>
          <w:sz w:val="24"/>
          <w:szCs w:val="24"/>
        </w:rPr>
        <w:t>the plaintiff obtained an injunction to restrain the defendants from selling a certain hair cream under the name of ‘Medicated Mexican Balm’ or other similar designations.</w:t>
      </w:r>
      <w:r>
        <w:rPr>
          <w:rStyle w:val="FootnoteReference"/>
          <w:rFonts w:ascii="Times New Roman" w:hAnsi="Times New Roman" w:cs="Times New Roman"/>
          <w:sz w:val="24"/>
          <w:szCs w:val="24"/>
        </w:rPr>
        <w:footnoteReference w:id="11"/>
      </w:r>
    </w:p>
    <w:p w:rsidR="00B029FA" w:rsidRPr="00477064" w:rsidRDefault="00B029FA" w:rsidP="00B029FA">
      <w:pPr>
        <w:pStyle w:val="ListParagraph"/>
        <w:numPr>
          <w:ilvl w:val="0"/>
          <w:numId w:val="1"/>
        </w:numPr>
        <w:spacing w:line="360" w:lineRule="auto"/>
        <w:rPr>
          <w:rFonts w:ascii="Times New Roman" w:hAnsi="Times New Roman" w:cs="Times New Roman"/>
          <w:b/>
          <w:sz w:val="24"/>
          <w:szCs w:val="24"/>
          <w:lang w:val="en-US"/>
        </w:rPr>
      </w:pPr>
      <w:r w:rsidRPr="00477064">
        <w:rPr>
          <w:rFonts w:ascii="Times New Roman" w:hAnsi="Times New Roman" w:cs="Times New Roman"/>
          <w:b/>
          <w:sz w:val="24"/>
          <w:szCs w:val="24"/>
          <w:lang w:val="en-US"/>
        </w:rPr>
        <w:t xml:space="preserve">Imitating the appearance of the plaintiff’s product. </w:t>
      </w:r>
    </w:p>
    <w:p w:rsidR="00B029FA" w:rsidRPr="00F81349" w:rsidRDefault="00B029FA" w:rsidP="00B029FA">
      <w:pPr>
        <w:spacing w:line="360" w:lineRule="auto"/>
        <w:rPr>
          <w:rFonts w:ascii="Times New Roman" w:hAnsi="Times New Roman" w:cs="Times New Roman"/>
          <w:sz w:val="24"/>
          <w:szCs w:val="24"/>
        </w:rPr>
      </w:pPr>
      <w:r>
        <w:rPr>
          <w:rFonts w:ascii="Times New Roman" w:hAnsi="Times New Roman" w:cs="Times New Roman"/>
          <w:sz w:val="24"/>
          <w:szCs w:val="24"/>
        </w:rPr>
        <w:t>This is where defendant tries to make</w:t>
      </w:r>
      <w:r w:rsidRPr="00C30AC8">
        <w:rPr>
          <w:rFonts w:ascii="Times New Roman" w:hAnsi="Times New Roman" w:cs="Times New Roman"/>
          <w:sz w:val="24"/>
          <w:szCs w:val="24"/>
        </w:rPr>
        <w:t xml:space="preserve"> his product appear like</w:t>
      </w:r>
      <w:r>
        <w:rPr>
          <w:rFonts w:ascii="Times New Roman" w:hAnsi="Times New Roman" w:cs="Times New Roman"/>
          <w:sz w:val="24"/>
          <w:szCs w:val="24"/>
        </w:rPr>
        <w:t xml:space="preserve"> that of the plaintiff</w:t>
      </w:r>
      <w:r w:rsidRPr="00C30AC8">
        <w:rPr>
          <w:rFonts w:ascii="Times New Roman" w:hAnsi="Times New Roman" w:cs="Times New Roman"/>
          <w:sz w:val="24"/>
          <w:szCs w:val="24"/>
        </w:rPr>
        <w:t>.</w:t>
      </w:r>
      <w:r>
        <w:rPr>
          <w:rFonts w:ascii="Times New Roman" w:hAnsi="Times New Roman" w:cs="Times New Roman"/>
          <w:sz w:val="24"/>
          <w:szCs w:val="24"/>
        </w:rPr>
        <w:t xml:space="preserve"> This </w:t>
      </w:r>
      <w:r w:rsidRPr="00C30AC8">
        <w:rPr>
          <w:rFonts w:ascii="Times New Roman" w:hAnsi="Times New Roman" w:cs="Times New Roman"/>
          <w:sz w:val="24"/>
          <w:szCs w:val="24"/>
        </w:rPr>
        <w:t>inc</w:t>
      </w:r>
      <w:r>
        <w:rPr>
          <w:rFonts w:ascii="Times New Roman" w:hAnsi="Times New Roman" w:cs="Times New Roman"/>
          <w:sz w:val="24"/>
          <w:szCs w:val="24"/>
        </w:rPr>
        <w:t xml:space="preserve">ludes copying </w:t>
      </w:r>
      <w:r w:rsidRPr="00C30AC8">
        <w:rPr>
          <w:rFonts w:ascii="Times New Roman" w:hAnsi="Times New Roman" w:cs="Times New Roman"/>
          <w:sz w:val="24"/>
          <w:szCs w:val="24"/>
        </w:rPr>
        <w:t xml:space="preserve">the likeness or appearance of the plaintiff’s product, in a manner </w:t>
      </w:r>
      <w:r>
        <w:rPr>
          <w:rFonts w:ascii="Times New Roman" w:hAnsi="Times New Roman" w:cs="Times New Roman"/>
          <w:sz w:val="24"/>
          <w:szCs w:val="24"/>
        </w:rPr>
        <w:t xml:space="preserve">so as </w:t>
      </w:r>
      <w:r w:rsidRPr="00C30AC8">
        <w:rPr>
          <w:rFonts w:ascii="Times New Roman" w:hAnsi="Times New Roman" w:cs="Times New Roman"/>
          <w:sz w:val="24"/>
          <w:szCs w:val="24"/>
        </w:rPr>
        <w:t xml:space="preserve">to confuse the public </w:t>
      </w:r>
      <w:r>
        <w:rPr>
          <w:rFonts w:ascii="Times New Roman" w:hAnsi="Times New Roman" w:cs="Times New Roman"/>
          <w:sz w:val="24"/>
          <w:szCs w:val="24"/>
        </w:rPr>
        <w:t xml:space="preserve">into patronizing his product believing it to be that of the plaintiff </w:t>
      </w:r>
      <w:r w:rsidRPr="00C30AC8">
        <w:rPr>
          <w:rFonts w:ascii="Times New Roman" w:hAnsi="Times New Roman" w:cs="Times New Roman"/>
          <w:sz w:val="24"/>
          <w:szCs w:val="24"/>
        </w:rPr>
        <w:t xml:space="preserve">e.g. general appearance, package, </w:t>
      </w:r>
      <w:r>
        <w:rPr>
          <w:rFonts w:ascii="Times New Roman" w:hAnsi="Times New Roman" w:cs="Times New Roman"/>
          <w:sz w:val="24"/>
          <w:szCs w:val="24"/>
        </w:rPr>
        <w:t xml:space="preserve">label, or design of the product. In </w:t>
      </w:r>
      <w:r w:rsidRPr="002F3BED">
        <w:rPr>
          <w:rFonts w:ascii="Times New Roman" w:hAnsi="Times New Roman" w:cs="Times New Roman"/>
          <w:bCs/>
          <w:i/>
          <w:iCs/>
          <w:sz w:val="24"/>
          <w:szCs w:val="24"/>
        </w:rPr>
        <w:t>De facto Works</w:t>
      </w:r>
      <w:r>
        <w:rPr>
          <w:rFonts w:ascii="Times New Roman" w:hAnsi="Times New Roman" w:cs="Times New Roman"/>
          <w:bCs/>
          <w:i/>
          <w:iCs/>
          <w:sz w:val="24"/>
          <w:szCs w:val="24"/>
        </w:rPr>
        <w:t xml:space="preserve"> Ltd v. </w:t>
      </w:r>
      <w:proofErr w:type="spellStart"/>
      <w:r>
        <w:rPr>
          <w:rFonts w:ascii="Times New Roman" w:hAnsi="Times New Roman" w:cs="Times New Roman"/>
          <w:bCs/>
          <w:i/>
          <w:iCs/>
          <w:sz w:val="24"/>
          <w:szCs w:val="24"/>
        </w:rPr>
        <w:t>Odumotun</w:t>
      </w:r>
      <w:proofErr w:type="spellEnd"/>
      <w:r>
        <w:rPr>
          <w:rFonts w:ascii="Times New Roman" w:hAnsi="Times New Roman" w:cs="Times New Roman"/>
          <w:bCs/>
          <w:i/>
          <w:iCs/>
          <w:sz w:val="24"/>
          <w:szCs w:val="24"/>
        </w:rPr>
        <w:t xml:space="preserve"> Trading Co Ltd,</w:t>
      </w:r>
      <w:r>
        <w:rPr>
          <w:rStyle w:val="FootnoteReference"/>
          <w:rFonts w:ascii="Times New Roman" w:hAnsi="Times New Roman" w:cs="Times New Roman"/>
          <w:b/>
          <w:bCs/>
          <w:i/>
          <w:iCs/>
          <w:sz w:val="24"/>
          <w:szCs w:val="24"/>
        </w:rPr>
        <w:footnoteReference w:id="12"/>
      </w:r>
      <w:r w:rsidRPr="002F3BED">
        <w:rPr>
          <w:rFonts w:ascii="Times New Roman" w:hAnsi="Times New Roman" w:cs="Times New Roman"/>
          <w:b/>
          <w:bCs/>
          <w:i/>
          <w:iCs/>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because of the semblance of the defendant’s product to that of the plaintiff, the court held that the defendant should cease production in Lagos unless he was able to distinguish his product from that of the plaintiff, regardless of the fact that they did not have similar names. This can also be done through advertisements with the same purpose.</w:t>
      </w:r>
      <w:r>
        <w:rPr>
          <w:rStyle w:val="FootnoteReference"/>
          <w:rFonts w:ascii="Times New Roman" w:hAnsi="Times New Roman" w:cs="Times New Roman"/>
          <w:sz w:val="24"/>
          <w:szCs w:val="24"/>
        </w:rPr>
        <w:footnoteReference w:id="13"/>
      </w:r>
    </w:p>
    <w:p w:rsidR="00B029FA" w:rsidRPr="00477064" w:rsidRDefault="00B029FA" w:rsidP="00B029FA">
      <w:pPr>
        <w:pStyle w:val="ListParagraph"/>
        <w:numPr>
          <w:ilvl w:val="0"/>
          <w:numId w:val="1"/>
        </w:numPr>
        <w:spacing w:line="360" w:lineRule="auto"/>
        <w:rPr>
          <w:rFonts w:ascii="Times New Roman" w:hAnsi="Times New Roman" w:cs="Times New Roman"/>
          <w:b/>
          <w:sz w:val="24"/>
          <w:szCs w:val="24"/>
          <w:lang w:val="en-US"/>
        </w:rPr>
      </w:pPr>
      <w:r w:rsidRPr="00477064">
        <w:rPr>
          <w:rFonts w:ascii="Times New Roman" w:hAnsi="Times New Roman" w:cs="Times New Roman"/>
          <w:b/>
          <w:sz w:val="24"/>
          <w:szCs w:val="24"/>
          <w:lang w:val="en-US"/>
        </w:rPr>
        <w:t xml:space="preserve">Selling inferior or expired goods of the plaintiff as current stock. </w:t>
      </w:r>
    </w:p>
    <w:p w:rsidR="00B029FA" w:rsidRPr="00F81349" w:rsidRDefault="00B029FA" w:rsidP="00B029F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where a defendant </w:t>
      </w:r>
      <w:r w:rsidRPr="002F3BED">
        <w:rPr>
          <w:rFonts w:ascii="Times New Roman" w:hAnsi="Times New Roman" w:cs="Times New Roman"/>
          <w:sz w:val="24"/>
          <w:szCs w:val="24"/>
        </w:rPr>
        <w:t>sell</w:t>
      </w:r>
      <w:r>
        <w:rPr>
          <w:rFonts w:ascii="Times New Roman" w:hAnsi="Times New Roman" w:cs="Times New Roman"/>
          <w:sz w:val="24"/>
          <w:szCs w:val="24"/>
        </w:rPr>
        <w:t>s</w:t>
      </w:r>
      <w:r w:rsidRPr="002F3BED">
        <w:rPr>
          <w:rFonts w:ascii="Times New Roman" w:hAnsi="Times New Roman" w:cs="Times New Roman"/>
          <w:sz w:val="24"/>
          <w:szCs w:val="24"/>
        </w:rPr>
        <w:t xml:space="preserve"> inferior or expired goods/products of the plaintiff as </w:t>
      </w:r>
      <w:r>
        <w:rPr>
          <w:rFonts w:ascii="Times New Roman" w:hAnsi="Times New Roman" w:cs="Times New Roman"/>
          <w:sz w:val="24"/>
          <w:szCs w:val="24"/>
        </w:rPr>
        <w:t xml:space="preserve">if they were a </w:t>
      </w:r>
      <w:r w:rsidRPr="002F3BED">
        <w:rPr>
          <w:rFonts w:ascii="Times New Roman" w:hAnsi="Times New Roman" w:cs="Times New Roman"/>
          <w:sz w:val="24"/>
          <w:szCs w:val="24"/>
        </w:rPr>
        <w:t xml:space="preserve">current stock, where such </w:t>
      </w:r>
      <w:r>
        <w:rPr>
          <w:rFonts w:ascii="Times New Roman" w:hAnsi="Times New Roman" w:cs="Times New Roman"/>
          <w:sz w:val="24"/>
          <w:szCs w:val="24"/>
        </w:rPr>
        <w:t>products have</w:t>
      </w:r>
      <w:r w:rsidRPr="002F3BED">
        <w:rPr>
          <w:rFonts w:ascii="Times New Roman" w:hAnsi="Times New Roman" w:cs="Times New Roman"/>
          <w:sz w:val="24"/>
          <w:szCs w:val="24"/>
        </w:rPr>
        <w:t xml:space="preserve"> been discarded by the plaintiff.</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It should be noted however that where second hand or inferior goods are sold without the misrepresentation that they are new, there will be no action under passing off. </w:t>
      </w:r>
    </w:p>
    <w:p w:rsidR="00B029FA" w:rsidRDefault="00B029FA" w:rsidP="00B029FA">
      <w:pPr>
        <w:pStyle w:val="ListParagraph"/>
        <w:numPr>
          <w:ilvl w:val="0"/>
          <w:numId w:val="1"/>
        </w:numPr>
        <w:spacing w:line="360" w:lineRule="auto"/>
        <w:rPr>
          <w:rFonts w:ascii="Times New Roman" w:hAnsi="Times New Roman" w:cs="Times New Roman"/>
          <w:sz w:val="24"/>
          <w:szCs w:val="24"/>
          <w:lang w:val="en-US"/>
        </w:rPr>
      </w:pPr>
      <w:r w:rsidRPr="00477064">
        <w:rPr>
          <w:rFonts w:ascii="Times New Roman" w:hAnsi="Times New Roman" w:cs="Times New Roman"/>
          <w:b/>
          <w:sz w:val="24"/>
          <w:szCs w:val="24"/>
          <w:lang w:val="en-US"/>
        </w:rPr>
        <w:t>False advertisement by copying the plaintiff’s advertisement.</w:t>
      </w:r>
      <w:r>
        <w:rPr>
          <w:rStyle w:val="FootnoteReference"/>
          <w:rFonts w:ascii="Times New Roman" w:hAnsi="Times New Roman" w:cs="Times New Roman"/>
          <w:sz w:val="24"/>
          <w:szCs w:val="24"/>
          <w:lang w:val="en-US"/>
        </w:rPr>
        <w:footnoteReference w:id="15"/>
      </w:r>
    </w:p>
    <w:p w:rsidR="00B029FA" w:rsidRPr="0032395F" w:rsidRDefault="00B029FA" w:rsidP="00B029FA">
      <w:pPr>
        <w:pStyle w:val="ListParagraph"/>
        <w:spacing w:line="360" w:lineRule="auto"/>
        <w:rPr>
          <w:rFonts w:ascii="Times New Roman" w:hAnsi="Times New Roman" w:cs="Times New Roman"/>
          <w:sz w:val="24"/>
          <w:szCs w:val="24"/>
          <w:lang w:val="en-US"/>
        </w:rPr>
      </w:pPr>
    </w:p>
    <w:p w:rsidR="00B029FA" w:rsidRPr="00477064" w:rsidRDefault="00B029FA" w:rsidP="00477064">
      <w:pPr>
        <w:spacing w:line="360" w:lineRule="auto"/>
        <w:jc w:val="center"/>
        <w:rPr>
          <w:rFonts w:ascii="Times New Roman" w:hAnsi="Times New Roman" w:cs="Times New Roman"/>
          <w:b/>
          <w:sz w:val="24"/>
          <w:szCs w:val="24"/>
          <w:u w:val="single"/>
        </w:rPr>
      </w:pPr>
      <w:r w:rsidRPr="00477064">
        <w:rPr>
          <w:rFonts w:ascii="Times New Roman" w:hAnsi="Times New Roman" w:cs="Times New Roman"/>
          <w:b/>
          <w:sz w:val="24"/>
          <w:szCs w:val="24"/>
          <w:u w:val="single"/>
        </w:rPr>
        <w:t>Elements of Passing off</w:t>
      </w:r>
    </w:p>
    <w:p w:rsidR="00B029FA" w:rsidRDefault="00B029FA" w:rsidP="00B029FA">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to succeed under a claim for passing off, the plaintiff must be able to prove that; </w:t>
      </w:r>
    </w:p>
    <w:p w:rsidR="00B029FA" w:rsidRDefault="00B029FA" w:rsidP="00B029FA">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was fraud by the defendant</w:t>
      </w:r>
    </w:p>
    <w:p w:rsidR="00B029FA" w:rsidRDefault="00B029FA" w:rsidP="00B029FA">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public is likely to be confused</w:t>
      </w:r>
    </w:p>
    <w:p w:rsidR="00B029FA" w:rsidRPr="0032395F" w:rsidRDefault="00B029FA" w:rsidP="00B029FA">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0D3C14">
        <w:rPr>
          <w:rFonts w:ascii="Times New Roman" w:hAnsi="Times New Roman" w:cs="Times New Roman"/>
          <w:sz w:val="24"/>
          <w:szCs w:val="24"/>
          <w:lang w:val="en-US"/>
        </w:rPr>
        <w:t>re was a</w:t>
      </w:r>
      <w:r>
        <w:rPr>
          <w:rFonts w:ascii="Times New Roman" w:hAnsi="Times New Roman" w:cs="Times New Roman"/>
          <w:sz w:val="24"/>
          <w:szCs w:val="24"/>
          <w:lang w:val="en-US"/>
        </w:rPr>
        <w:t xml:space="preserve"> likelihood of deception</w:t>
      </w:r>
    </w:p>
    <w:p w:rsidR="00B029FA" w:rsidRPr="00477064" w:rsidRDefault="00B029FA" w:rsidP="00477064">
      <w:pPr>
        <w:spacing w:line="360" w:lineRule="auto"/>
        <w:jc w:val="center"/>
        <w:rPr>
          <w:rFonts w:ascii="Times New Roman" w:hAnsi="Times New Roman" w:cs="Times New Roman"/>
          <w:b/>
          <w:sz w:val="24"/>
          <w:szCs w:val="24"/>
          <w:u w:val="single"/>
        </w:rPr>
      </w:pPr>
      <w:r w:rsidRPr="00477064">
        <w:rPr>
          <w:rFonts w:ascii="Times New Roman" w:hAnsi="Times New Roman" w:cs="Times New Roman"/>
          <w:b/>
          <w:sz w:val="24"/>
          <w:szCs w:val="24"/>
          <w:u w:val="single"/>
        </w:rPr>
        <w:t>Remedies</w:t>
      </w:r>
    </w:p>
    <w:p w:rsidR="00B029FA" w:rsidRPr="0032395F" w:rsidRDefault="00B029FA" w:rsidP="00B029FA">
      <w:pPr>
        <w:spacing w:line="360" w:lineRule="auto"/>
        <w:rPr>
          <w:rFonts w:ascii="Times New Roman" w:hAnsi="Times New Roman" w:cs="Times New Roman"/>
          <w:sz w:val="24"/>
          <w:szCs w:val="24"/>
        </w:rPr>
      </w:pPr>
      <w:r w:rsidRPr="0032395F">
        <w:rPr>
          <w:rFonts w:ascii="Times New Roman" w:hAnsi="Times New Roman" w:cs="Times New Roman"/>
          <w:sz w:val="24"/>
          <w:szCs w:val="24"/>
        </w:rPr>
        <w:t>The remedies for the tort of pass</w:t>
      </w:r>
      <w:r>
        <w:rPr>
          <w:rFonts w:ascii="Times New Roman" w:hAnsi="Times New Roman" w:cs="Times New Roman"/>
          <w:sz w:val="24"/>
          <w:szCs w:val="24"/>
        </w:rPr>
        <w:t>ing off include; Damages,</w:t>
      </w:r>
      <w:r w:rsidRPr="0032395F">
        <w:rPr>
          <w:rFonts w:ascii="Times New Roman" w:hAnsi="Times New Roman" w:cs="Times New Roman"/>
          <w:sz w:val="24"/>
          <w:szCs w:val="24"/>
        </w:rPr>
        <w:t xml:space="preserve"> Accou</w:t>
      </w:r>
      <w:r>
        <w:rPr>
          <w:rFonts w:ascii="Times New Roman" w:hAnsi="Times New Roman" w:cs="Times New Roman"/>
          <w:sz w:val="24"/>
          <w:szCs w:val="24"/>
        </w:rPr>
        <w:t>nt for profit or loss of sales, An Injunction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or an I</w:t>
      </w:r>
      <w:r w:rsidRPr="0032395F">
        <w:rPr>
          <w:rFonts w:ascii="Times New Roman" w:hAnsi="Times New Roman" w:cs="Times New Roman"/>
          <w:sz w:val="24"/>
          <w:szCs w:val="24"/>
        </w:rPr>
        <w:t>ntervention by the relev</w:t>
      </w:r>
      <w:r>
        <w:rPr>
          <w:rFonts w:ascii="Times New Roman" w:hAnsi="Times New Roman" w:cs="Times New Roman"/>
          <w:sz w:val="24"/>
          <w:szCs w:val="24"/>
        </w:rPr>
        <w:t xml:space="preserve">ant regulatory agencies (NAFDAC, SON, etc.) </w:t>
      </w:r>
    </w:p>
    <w:p w:rsidR="00B029FA" w:rsidRPr="00477064" w:rsidRDefault="00B029FA" w:rsidP="00477064">
      <w:pPr>
        <w:spacing w:line="360" w:lineRule="auto"/>
        <w:jc w:val="center"/>
        <w:rPr>
          <w:rFonts w:ascii="Times New Roman" w:hAnsi="Times New Roman" w:cs="Times New Roman"/>
          <w:b/>
          <w:sz w:val="24"/>
          <w:szCs w:val="24"/>
          <w:u w:val="single"/>
        </w:rPr>
      </w:pPr>
      <w:r w:rsidRPr="00477064">
        <w:rPr>
          <w:rFonts w:ascii="Times New Roman" w:hAnsi="Times New Roman" w:cs="Times New Roman"/>
          <w:b/>
          <w:sz w:val="24"/>
          <w:szCs w:val="24"/>
          <w:u w:val="single"/>
          <w:lang w:val="en-GB"/>
        </w:rPr>
        <w:t>Defences</w:t>
      </w:r>
    </w:p>
    <w:p w:rsidR="00B029FA" w:rsidRDefault="00B029FA" w:rsidP="00B029FA">
      <w:pPr>
        <w:spacing w:line="360" w:lineRule="auto"/>
        <w:rPr>
          <w:rFonts w:ascii="Times New Roman" w:hAnsi="Times New Roman" w:cs="Times New Roman"/>
          <w:bCs/>
          <w:iCs/>
          <w:sz w:val="24"/>
          <w:szCs w:val="24"/>
        </w:rPr>
      </w:pPr>
      <w:r>
        <w:rPr>
          <w:rFonts w:ascii="Times New Roman" w:hAnsi="Times New Roman" w:cs="Times New Roman"/>
          <w:sz w:val="24"/>
          <w:szCs w:val="24"/>
        </w:rPr>
        <w:t>Under a claim for</w:t>
      </w:r>
      <w:r w:rsidRPr="0032395F">
        <w:rPr>
          <w:rFonts w:ascii="Times New Roman" w:hAnsi="Times New Roman" w:cs="Times New Roman"/>
          <w:sz w:val="24"/>
          <w:szCs w:val="24"/>
        </w:rPr>
        <w:t xml:space="preserve"> passing off, a defendant may plead a number of </w:t>
      </w:r>
      <w:proofErr w:type="spellStart"/>
      <w:r w:rsidR="000D3C14">
        <w:rPr>
          <w:rFonts w:ascii="Times New Roman" w:hAnsi="Times New Roman" w:cs="Times New Roman"/>
          <w:sz w:val="24"/>
          <w:szCs w:val="24"/>
        </w:rPr>
        <w:t>defenc</w:t>
      </w:r>
      <w:r w:rsidR="000D3C14" w:rsidRPr="0032395F">
        <w:rPr>
          <w:rFonts w:ascii="Times New Roman" w:hAnsi="Times New Roman" w:cs="Times New Roman"/>
          <w:sz w:val="24"/>
          <w:szCs w:val="24"/>
        </w:rPr>
        <w:t>es</w:t>
      </w:r>
      <w:proofErr w:type="spellEnd"/>
      <w:r w:rsidRPr="0032395F">
        <w:rPr>
          <w:rFonts w:ascii="Times New Roman" w:hAnsi="Times New Roman" w:cs="Times New Roman"/>
          <w:sz w:val="24"/>
          <w:szCs w:val="24"/>
        </w:rPr>
        <w:t xml:space="preserve"> by saying that the passing off complained of is a; Functional design or package </w:t>
      </w:r>
      <w:r>
        <w:rPr>
          <w:rFonts w:ascii="Times New Roman" w:hAnsi="Times New Roman" w:cs="Times New Roman"/>
          <w:sz w:val="24"/>
          <w:szCs w:val="24"/>
        </w:rPr>
        <w:t xml:space="preserve">or </w:t>
      </w:r>
      <w:r>
        <w:rPr>
          <w:rFonts w:ascii="Times New Roman" w:hAnsi="Times New Roman" w:cs="Times New Roman"/>
          <w:bCs/>
          <w:iCs/>
          <w:sz w:val="24"/>
          <w:szCs w:val="24"/>
        </w:rPr>
        <w:t>t</w:t>
      </w:r>
      <w:r w:rsidRPr="0032395F">
        <w:rPr>
          <w:rFonts w:ascii="Times New Roman" w:hAnsi="Times New Roman" w:cs="Times New Roman"/>
          <w:bCs/>
          <w:iCs/>
          <w:sz w:val="24"/>
          <w:szCs w:val="24"/>
        </w:rPr>
        <w:t xml:space="preserve">he mere descriptive name of the product </w:t>
      </w:r>
      <w:r>
        <w:rPr>
          <w:rFonts w:ascii="Times New Roman" w:hAnsi="Times New Roman" w:cs="Times New Roman"/>
          <w:bCs/>
          <w:iCs/>
          <w:sz w:val="24"/>
          <w:szCs w:val="24"/>
        </w:rPr>
        <w:t>or was c</w:t>
      </w:r>
      <w:r w:rsidRPr="0032395F">
        <w:rPr>
          <w:rFonts w:ascii="Times New Roman" w:hAnsi="Times New Roman" w:cs="Times New Roman"/>
          <w:bCs/>
          <w:iCs/>
          <w:sz w:val="24"/>
          <w:szCs w:val="24"/>
        </w:rPr>
        <w:t>onsent</w:t>
      </w:r>
      <w:r>
        <w:rPr>
          <w:rFonts w:ascii="Times New Roman" w:hAnsi="Times New Roman" w:cs="Times New Roman"/>
          <w:bCs/>
          <w:iCs/>
          <w:sz w:val="24"/>
          <w:szCs w:val="24"/>
        </w:rPr>
        <w:t>ed or was Innocent passing off</w:t>
      </w:r>
      <w:r>
        <w:rPr>
          <w:rStyle w:val="FootnoteReference"/>
          <w:rFonts w:ascii="Times New Roman" w:hAnsi="Times New Roman" w:cs="Times New Roman"/>
          <w:bCs/>
          <w:iCs/>
          <w:sz w:val="24"/>
          <w:szCs w:val="24"/>
        </w:rPr>
        <w:footnoteReference w:id="17"/>
      </w:r>
      <w:r w:rsidR="00477064">
        <w:rPr>
          <w:rFonts w:ascii="Times New Roman" w:hAnsi="Times New Roman" w:cs="Times New Roman"/>
          <w:bCs/>
          <w:iCs/>
          <w:sz w:val="24"/>
          <w:szCs w:val="24"/>
        </w:rPr>
        <w:t xml:space="preserve"> </w:t>
      </w:r>
    </w:p>
    <w:p w:rsidR="00477064" w:rsidRDefault="00477064" w:rsidP="00624A11">
      <w:pPr>
        <w:spacing w:line="360" w:lineRule="auto"/>
        <w:jc w:val="center"/>
        <w:rPr>
          <w:rFonts w:ascii="Times New Roman" w:hAnsi="Times New Roman" w:cs="Times New Roman"/>
          <w:b/>
          <w:bCs/>
          <w:iCs/>
          <w:sz w:val="24"/>
          <w:szCs w:val="24"/>
          <w:u w:val="single"/>
        </w:rPr>
      </w:pPr>
      <w:r w:rsidRPr="00477064">
        <w:rPr>
          <w:rFonts w:ascii="Times New Roman" w:hAnsi="Times New Roman" w:cs="Times New Roman"/>
          <w:b/>
          <w:bCs/>
          <w:iCs/>
          <w:sz w:val="24"/>
          <w:szCs w:val="24"/>
          <w:u w:val="single"/>
        </w:rPr>
        <w:lastRenderedPageBreak/>
        <w:t>Relevance of Passing off as an Economic Tort in modern day Nigeria</w:t>
      </w:r>
    </w:p>
    <w:p w:rsidR="00570833" w:rsidRDefault="00624A11" w:rsidP="00570833">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 concept of passing off is not at all new to Nigeria. In fact it is a wide spread phenomenon deeply rooted in the Nigerian market sector. </w:t>
      </w:r>
      <w:r w:rsidR="000F6110">
        <w:rPr>
          <w:rFonts w:ascii="Times New Roman" w:hAnsi="Times New Roman" w:cs="Times New Roman"/>
          <w:bCs/>
          <w:iCs/>
          <w:sz w:val="24"/>
          <w:szCs w:val="24"/>
        </w:rPr>
        <w:t>Let’s</w:t>
      </w:r>
      <w:r>
        <w:rPr>
          <w:rFonts w:ascii="Times New Roman" w:hAnsi="Times New Roman" w:cs="Times New Roman"/>
          <w:bCs/>
          <w:iCs/>
          <w:sz w:val="24"/>
          <w:szCs w:val="24"/>
        </w:rPr>
        <w:t xml:space="preserve"> take this scenario for example – where A, hoping to buy</w:t>
      </w:r>
      <w:r w:rsidR="000F6110">
        <w:rPr>
          <w:rFonts w:ascii="Times New Roman" w:hAnsi="Times New Roman" w:cs="Times New Roman"/>
          <w:bCs/>
          <w:iCs/>
          <w:sz w:val="24"/>
          <w:szCs w:val="24"/>
        </w:rPr>
        <w:t xml:space="preserve"> a birthday present for his son, goes to </w:t>
      </w:r>
      <w:proofErr w:type="spellStart"/>
      <w:r w:rsidR="000F6110">
        <w:rPr>
          <w:rFonts w:ascii="Times New Roman" w:hAnsi="Times New Roman" w:cs="Times New Roman"/>
          <w:bCs/>
          <w:iCs/>
          <w:sz w:val="24"/>
          <w:szCs w:val="24"/>
        </w:rPr>
        <w:t>Balo</w:t>
      </w:r>
      <w:r w:rsidR="000D3C14">
        <w:rPr>
          <w:rFonts w:ascii="Times New Roman" w:hAnsi="Times New Roman" w:cs="Times New Roman"/>
          <w:bCs/>
          <w:iCs/>
          <w:sz w:val="24"/>
          <w:szCs w:val="24"/>
        </w:rPr>
        <w:t>gun</w:t>
      </w:r>
      <w:proofErr w:type="spellEnd"/>
      <w:r w:rsidR="000D3C14">
        <w:rPr>
          <w:rFonts w:ascii="Times New Roman" w:hAnsi="Times New Roman" w:cs="Times New Roman"/>
          <w:bCs/>
          <w:iCs/>
          <w:sz w:val="24"/>
          <w:szCs w:val="24"/>
        </w:rPr>
        <w:t xml:space="preserve"> market with the intention of</w:t>
      </w:r>
      <w:r w:rsidR="000F6110">
        <w:rPr>
          <w:rFonts w:ascii="Times New Roman" w:hAnsi="Times New Roman" w:cs="Times New Roman"/>
          <w:bCs/>
          <w:iCs/>
          <w:sz w:val="24"/>
          <w:szCs w:val="24"/>
        </w:rPr>
        <w:t xml:space="preserve"> buy</w:t>
      </w:r>
      <w:r w:rsidR="000D3C14">
        <w:rPr>
          <w:rFonts w:ascii="Times New Roman" w:hAnsi="Times New Roman" w:cs="Times New Roman"/>
          <w:bCs/>
          <w:iCs/>
          <w:sz w:val="24"/>
          <w:szCs w:val="24"/>
        </w:rPr>
        <w:t>ing</w:t>
      </w:r>
      <w:r w:rsidR="000F6110">
        <w:rPr>
          <w:rFonts w:ascii="Times New Roman" w:hAnsi="Times New Roman" w:cs="Times New Roman"/>
          <w:bCs/>
          <w:iCs/>
          <w:sz w:val="24"/>
          <w:szCs w:val="24"/>
        </w:rPr>
        <w:t xml:space="preserve"> a pair of Nike sneakers which his son has always wanted. On arriving at the store, A, who only has little knowledge about the brand picks up and buys a pair of “</w:t>
      </w:r>
      <w:proofErr w:type="spellStart"/>
      <w:r w:rsidR="000F6110">
        <w:rPr>
          <w:rFonts w:ascii="Times New Roman" w:hAnsi="Times New Roman" w:cs="Times New Roman"/>
          <w:bCs/>
          <w:iCs/>
          <w:sz w:val="24"/>
          <w:szCs w:val="24"/>
        </w:rPr>
        <w:t>Nika</w:t>
      </w:r>
      <w:proofErr w:type="spellEnd"/>
      <w:r w:rsidR="000F6110">
        <w:rPr>
          <w:rFonts w:ascii="Times New Roman" w:hAnsi="Times New Roman" w:cs="Times New Roman"/>
          <w:bCs/>
          <w:iCs/>
          <w:sz w:val="24"/>
          <w:szCs w:val="24"/>
        </w:rPr>
        <w:t xml:space="preserve">” sneakers instead. It is not until he gets home that he is made aware that the both brands are not the same. </w:t>
      </w:r>
      <w:r w:rsidR="00F35FA8">
        <w:rPr>
          <w:rFonts w:ascii="Times New Roman" w:hAnsi="Times New Roman" w:cs="Times New Roman"/>
          <w:bCs/>
          <w:iCs/>
          <w:sz w:val="24"/>
          <w:szCs w:val="24"/>
        </w:rPr>
        <w:t xml:space="preserve">Such situations are not only largely disappointing to customers but can also be harmful, especially where the products are to be consumed or used externally, for instance, Creams, makeup, oils, etc. </w:t>
      </w:r>
      <w:r w:rsidR="000F6110">
        <w:rPr>
          <w:rFonts w:ascii="Times New Roman" w:hAnsi="Times New Roman" w:cs="Times New Roman"/>
          <w:bCs/>
          <w:iCs/>
          <w:sz w:val="24"/>
          <w:szCs w:val="24"/>
        </w:rPr>
        <w:t xml:space="preserve">Unfortunately, </w:t>
      </w:r>
      <w:r w:rsidR="00F35FA8">
        <w:rPr>
          <w:rFonts w:ascii="Times New Roman" w:hAnsi="Times New Roman" w:cs="Times New Roman"/>
          <w:bCs/>
          <w:iCs/>
          <w:sz w:val="24"/>
          <w:szCs w:val="24"/>
        </w:rPr>
        <w:t xml:space="preserve">such </w:t>
      </w:r>
      <w:r w:rsidR="000F6110">
        <w:rPr>
          <w:rFonts w:ascii="Times New Roman" w:hAnsi="Times New Roman" w:cs="Times New Roman"/>
          <w:bCs/>
          <w:iCs/>
          <w:sz w:val="24"/>
          <w:szCs w:val="24"/>
        </w:rPr>
        <w:t>scenari</w:t>
      </w:r>
      <w:r w:rsidR="00F35FA8">
        <w:rPr>
          <w:rFonts w:ascii="Times New Roman" w:hAnsi="Times New Roman" w:cs="Times New Roman"/>
          <w:bCs/>
          <w:iCs/>
          <w:sz w:val="24"/>
          <w:szCs w:val="24"/>
        </w:rPr>
        <w:t>os are so common in Nigeria, they are</w:t>
      </w:r>
      <w:r w:rsidR="0030382E">
        <w:rPr>
          <w:rFonts w:ascii="Times New Roman" w:hAnsi="Times New Roman" w:cs="Times New Roman"/>
          <w:bCs/>
          <w:iCs/>
          <w:sz w:val="24"/>
          <w:szCs w:val="24"/>
        </w:rPr>
        <w:t xml:space="preserve"> almost normalized. Counterfeit and fake products are labeled ‘second-hand’ or ‘aba’ and are sometimes even promoted as</w:t>
      </w:r>
      <w:r w:rsidR="00570833">
        <w:rPr>
          <w:rFonts w:ascii="Times New Roman" w:hAnsi="Times New Roman" w:cs="Times New Roman"/>
          <w:bCs/>
          <w:iCs/>
          <w:sz w:val="24"/>
          <w:szCs w:val="24"/>
        </w:rPr>
        <w:t xml:space="preserve"> being</w:t>
      </w:r>
      <w:r w:rsidR="0030382E">
        <w:rPr>
          <w:rFonts w:ascii="Times New Roman" w:hAnsi="Times New Roman" w:cs="Times New Roman"/>
          <w:bCs/>
          <w:iCs/>
          <w:sz w:val="24"/>
          <w:szCs w:val="24"/>
        </w:rPr>
        <w:t xml:space="preserve"> entrepreneurial</w:t>
      </w:r>
      <w:r w:rsidR="00570833">
        <w:rPr>
          <w:rFonts w:ascii="Times New Roman" w:hAnsi="Times New Roman" w:cs="Times New Roman"/>
          <w:bCs/>
          <w:iCs/>
          <w:sz w:val="24"/>
          <w:szCs w:val="24"/>
        </w:rPr>
        <w:t xml:space="preserve">. </w:t>
      </w:r>
    </w:p>
    <w:p w:rsidR="00570833" w:rsidRDefault="00570833" w:rsidP="000F6110">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0833">
        <w:rPr>
          <w:rFonts w:ascii="Times New Roman" w:hAnsi="Times New Roman" w:cs="Times New Roman"/>
          <w:bCs/>
          <w:iCs/>
          <w:sz w:val="24"/>
          <w:szCs w:val="24"/>
        </w:rPr>
        <w:t>The purpose of an action for Passing off is to prevent one trade from damaging or exploiting the goodwill and reputation built up by another. The principle is that no man is entitled to represent his goods or his business as that of another.</w:t>
      </w:r>
      <w:r>
        <w:rPr>
          <w:rFonts w:ascii="Times New Roman" w:hAnsi="Times New Roman" w:cs="Times New Roman"/>
          <w:bCs/>
          <w:iCs/>
          <w:sz w:val="24"/>
          <w:szCs w:val="24"/>
        </w:rPr>
        <w:t xml:space="preserve"> To this extent it is imperial that there be in place a legal framework guiding such acts. </w:t>
      </w:r>
      <w:r w:rsidR="00F35FA8">
        <w:rPr>
          <w:rFonts w:ascii="Times New Roman" w:hAnsi="Times New Roman" w:cs="Times New Roman"/>
          <w:bCs/>
          <w:iCs/>
          <w:sz w:val="24"/>
          <w:szCs w:val="24"/>
        </w:rPr>
        <w:t xml:space="preserve">Especially in a nation like Nigeria where the phenomenon of passing off is rampant and largely unchecked. </w:t>
      </w:r>
    </w:p>
    <w:p w:rsidR="00570833" w:rsidRDefault="00570833" w:rsidP="000F6110">
      <w:pPr>
        <w:spacing w:line="360" w:lineRule="auto"/>
        <w:jc w:val="both"/>
        <w:rPr>
          <w:rFonts w:ascii="Times New Roman" w:hAnsi="Times New Roman" w:cs="Times New Roman"/>
          <w:bCs/>
          <w:iCs/>
          <w:sz w:val="24"/>
          <w:szCs w:val="24"/>
        </w:rPr>
      </w:pPr>
    </w:p>
    <w:p w:rsidR="007A0196" w:rsidRPr="00570833" w:rsidRDefault="00570833" w:rsidP="00570833">
      <w:pPr>
        <w:spacing w:line="360" w:lineRule="auto"/>
        <w:jc w:val="center"/>
        <w:rPr>
          <w:rFonts w:ascii="Times New Roman" w:hAnsi="Times New Roman" w:cs="Times New Roman"/>
          <w:b/>
          <w:bCs/>
          <w:iCs/>
          <w:sz w:val="24"/>
          <w:szCs w:val="24"/>
          <w:u w:val="single"/>
        </w:rPr>
      </w:pPr>
      <w:r w:rsidRPr="00570833">
        <w:rPr>
          <w:rFonts w:ascii="Times New Roman" w:hAnsi="Times New Roman" w:cs="Times New Roman"/>
          <w:b/>
          <w:bCs/>
          <w:iCs/>
          <w:sz w:val="24"/>
          <w:szCs w:val="24"/>
          <w:u w:val="single"/>
        </w:rPr>
        <w:t>Conclusion</w:t>
      </w:r>
      <w:r w:rsidR="00BB0CBB">
        <w:rPr>
          <w:rFonts w:ascii="Times New Roman" w:hAnsi="Times New Roman" w:cs="Times New Roman"/>
          <w:b/>
          <w:bCs/>
          <w:iCs/>
          <w:sz w:val="24"/>
          <w:szCs w:val="24"/>
          <w:u w:val="single"/>
        </w:rPr>
        <w:t>/Recommendation.</w:t>
      </w:r>
    </w:p>
    <w:p w:rsidR="00F35FA8" w:rsidRPr="00BB0CBB" w:rsidRDefault="00570833" w:rsidP="000F6110">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Although the tort of Passing off is not a criminal offence, a victim of Passing off may</w:t>
      </w:r>
      <w:r w:rsidRPr="00570833">
        <w:rPr>
          <w:rFonts w:ascii="Times New Roman" w:hAnsi="Times New Roman" w:cs="Times New Roman"/>
          <w:bCs/>
          <w:iCs/>
          <w:sz w:val="24"/>
          <w:szCs w:val="24"/>
        </w:rPr>
        <w:t xml:space="preserve"> make a report to the person/company manufacturing the product one intended to purchase to make them aware that another person/company is reproducing a similar product and passin</w:t>
      </w:r>
      <w:r>
        <w:rPr>
          <w:rFonts w:ascii="Times New Roman" w:hAnsi="Times New Roman" w:cs="Times New Roman"/>
          <w:bCs/>
          <w:iCs/>
          <w:sz w:val="24"/>
          <w:szCs w:val="24"/>
        </w:rPr>
        <w:t xml:space="preserve">g it off as theirs. The victim </w:t>
      </w:r>
      <w:r w:rsidRPr="00570833">
        <w:rPr>
          <w:rFonts w:ascii="Times New Roman" w:hAnsi="Times New Roman" w:cs="Times New Roman"/>
          <w:bCs/>
          <w:iCs/>
          <w:sz w:val="24"/>
          <w:szCs w:val="24"/>
        </w:rPr>
        <w:t xml:space="preserve">may also go further to report the misrepresentation by the manufacturers of </w:t>
      </w:r>
      <w:r>
        <w:rPr>
          <w:rFonts w:ascii="Times New Roman" w:hAnsi="Times New Roman" w:cs="Times New Roman"/>
          <w:bCs/>
          <w:iCs/>
          <w:sz w:val="24"/>
          <w:szCs w:val="24"/>
        </w:rPr>
        <w:t>counterfeit brand</w:t>
      </w:r>
      <w:r w:rsidRPr="00570833">
        <w:rPr>
          <w:rFonts w:ascii="Times New Roman" w:hAnsi="Times New Roman" w:cs="Times New Roman"/>
          <w:bCs/>
          <w:iCs/>
          <w:sz w:val="24"/>
          <w:szCs w:val="24"/>
        </w:rPr>
        <w:t xml:space="preserve"> to the Consumer Protection Council ("CPC") and seek compensation as a dissatisfied consumer.</w:t>
      </w:r>
      <w:r w:rsidR="00F35FA8">
        <w:rPr>
          <w:rFonts w:ascii="Times New Roman" w:hAnsi="Times New Roman" w:cs="Times New Roman"/>
          <w:bCs/>
          <w:iCs/>
          <w:sz w:val="24"/>
          <w:szCs w:val="24"/>
        </w:rPr>
        <w:t xml:space="preserve"> </w:t>
      </w:r>
      <w:r w:rsidR="00F35FA8" w:rsidRPr="00F35FA8">
        <w:rPr>
          <w:rFonts w:ascii="Times New Roman" w:hAnsi="Times New Roman" w:cs="Times New Roman"/>
          <w:bCs/>
          <w:iCs/>
          <w:sz w:val="24"/>
          <w:szCs w:val="24"/>
          <w:lang w:val="en-GB"/>
        </w:rPr>
        <w:t>A passing off claim as well as a case</w:t>
      </w:r>
      <w:r w:rsidR="00BB0CBB">
        <w:rPr>
          <w:rFonts w:ascii="Times New Roman" w:hAnsi="Times New Roman" w:cs="Times New Roman"/>
          <w:bCs/>
          <w:iCs/>
          <w:sz w:val="24"/>
          <w:szCs w:val="24"/>
          <w:lang w:val="en-GB"/>
        </w:rPr>
        <w:t xml:space="preserve"> for trade mark infringement could be sustained concurrently and</w:t>
      </w:r>
      <w:r w:rsidR="00F35FA8" w:rsidRPr="00F35FA8">
        <w:rPr>
          <w:rFonts w:ascii="Times New Roman" w:hAnsi="Times New Roman" w:cs="Times New Roman"/>
          <w:bCs/>
          <w:iCs/>
          <w:sz w:val="24"/>
          <w:szCs w:val="24"/>
          <w:lang w:val="en-GB"/>
        </w:rPr>
        <w:t xml:space="preserve"> claim for trade mark infringement could fail but a passing off claim succeeds.</w:t>
      </w:r>
      <w:r w:rsidR="00BB0CBB" w:rsidRPr="00BB0CBB">
        <w:rPr>
          <w:rFonts w:ascii="Times New Roman" w:hAnsi="Times New Roman" w:cs="Times New Roman"/>
          <w:bCs/>
          <w:iCs/>
          <w:sz w:val="24"/>
          <w:szCs w:val="24"/>
        </w:rPr>
        <w:t xml:space="preserve"> </w:t>
      </w:r>
      <w:r w:rsidR="00BB0CBB">
        <w:rPr>
          <w:rFonts w:ascii="Times New Roman" w:hAnsi="Times New Roman" w:cs="Times New Roman"/>
          <w:bCs/>
          <w:iCs/>
          <w:sz w:val="24"/>
          <w:szCs w:val="24"/>
        </w:rPr>
        <w:t>Businesses, medium and small scale should also be enlightened to acquire trademarks for their products in order to offer an even greater source protection to them. Strict legal frameworks should also be put in place in order to protect manufacturers/traders from this tort</w:t>
      </w:r>
      <w:r w:rsidR="000D3C14">
        <w:rPr>
          <w:rFonts w:ascii="Times New Roman" w:hAnsi="Times New Roman" w:cs="Times New Roman"/>
          <w:bCs/>
          <w:iCs/>
          <w:sz w:val="24"/>
          <w:szCs w:val="24"/>
        </w:rPr>
        <w:t xml:space="preserve">. </w:t>
      </w:r>
      <w:bookmarkStart w:id="0" w:name="_GoBack"/>
      <w:bookmarkEnd w:id="0"/>
    </w:p>
    <w:p w:rsidR="00F35FA8" w:rsidRPr="000F6110" w:rsidRDefault="00F35FA8" w:rsidP="000F6110">
      <w:pPr>
        <w:spacing w:line="360" w:lineRule="auto"/>
        <w:jc w:val="both"/>
        <w:rPr>
          <w:rFonts w:ascii="Times New Roman" w:hAnsi="Times New Roman" w:cs="Times New Roman"/>
          <w:bCs/>
          <w:iCs/>
          <w:sz w:val="24"/>
          <w:szCs w:val="24"/>
        </w:rPr>
      </w:pPr>
    </w:p>
    <w:p w:rsidR="007A0196" w:rsidRPr="006D1966" w:rsidRDefault="006D1966" w:rsidP="006D196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r w:rsidRPr="006D1966">
        <w:rPr>
          <w:rFonts w:ascii="Times New Roman" w:hAnsi="Times New Roman" w:cs="Times New Roman"/>
          <w:b/>
          <w:sz w:val="24"/>
          <w:szCs w:val="24"/>
          <w:u w:val="single"/>
        </w:rPr>
        <w:t>.</w:t>
      </w:r>
    </w:p>
    <w:p w:rsidR="007A0196" w:rsidRDefault="007A0196"/>
    <w:p w:rsidR="00F35FA8" w:rsidRDefault="00F35FA8" w:rsidP="00F35FA8">
      <w:pPr>
        <w:pStyle w:val="ListParagraph"/>
        <w:numPr>
          <w:ilvl w:val="0"/>
          <w:numId w:val="3"/>
        </w:numPr>
        <w:spacing w:line="360" w:lineRule="auto"/>
        <w:rPr>
          <w:rFonts w:ascii="Times New Roman" w:hAnsi="Times New Roman" w:cs="Times New Roman"/>
          <w:sz w:val="24"/>
          <w:szCs w:val="24"/>
        </w:rPr>
      </w:pPr>
      <w:proofErr w:type="spellStart"/>
      <w:r w:rsidRPr="00F35FA8">
        <w:rPr>
          <w:rFonts w:ascii="Times New Roman" w:hAnsi="Times New Roman" w:cs="Times New Roman"/>
          <w:sz w:val="24"/>
          <w:szCs w:val="24"/>
        </w:rPr>
        <w:t>Ese</w:t>
      </w:r>
      <w:proofErr w:type="spellEnd"/>
      <w:r w:rsidRPr="00F35FA8">
        <w:rPr>
          <w:rFonts w:ascii="Times New Roman" w:hAnsi="Times New Roman" w:cs="Times New Roman"/>
          <w:sz w:val="24"/>
          <w:szCs w:val="24"/>
        </w:rPr>
        <w:t xml:space="preserve"> </w:t>
      </w:r>
      <w:proofErr w:type="spellStart"/>
      <w:r w:rsidRPr="00F35FA8">
        <w:rPr>
          <w:rFonts w:ascii="Times New Roman" w:hAnsi="Times New Roman" w:cs="Times New Roman"/>
          <w:sz w:val="24"/>
          <w:szCs w:val="24"/>
        </w:rPr>
        <w:t>Malemi</w:t>
      </w:r>
      <w:proofErr w:type="spellEnd"/>
      <w:r w:rsidRPr="00F35FA8">
        <w:rPr>
          <w:rFonts w:ascii="Times New Roman" w:hAnsi="Times New Roman" w:cs="Times New Roman"/>
          <w:sz w:val="24"/>
          <w:szCs w:val="24"/>
        </w:rPr>
        <w:t xml:space="preserve"> (2008), </w:t>
      </w:r>
      <w:r w:rsidRPr="00F35FA8">
        <w:rPr>
          <w:rFonts w:ascii="Times New Roman" w:hAnsi="Times New Roman" w:cs="Times New Roman"/>
          <w:i/>
          <w:sz w:val="24"/>
          <w:szCs w:val="24"/>
        </w:rPr>
        <w:t>Law of Tort</w:t>
      </w:r>
      <w:r w:rsidRPr="00F35FA8">
        <w:rPr>
          <w:rFonts w:ascii="Times New Roman" w:hAnsi="Times New Roman" w:cs="Times New Roman"/>
          <w:sz w:val="24"/>
          <w:szCs w:val="24"/>
        </w:rPr>
        <w:t xml:space="preserve">, </w:t>
      </w:r>
      <w:proofErr w:type="spellStart"/>
      <w:r w:rsidRPr="00F35FA8">
        <w:rPr>
          <w:rFonts w:ascii="Times New Roman" w:hAnsi="Times New Roman" w:cs="Times New Roman"/>
          <w:sz w:val="24"/>
          <w:szCs w:val="24"/>
        </w:rPr>
        <w:t>Ikeja</w:t>
      </w:r>
      <w:proofErr w:type="spellEnd"/>
      <w:r w:rsidRPr="00F35FA8">
        <w:rPr>
          <w:rFonts w:ascii="Times New Roman" w:hAnsi="Times New Roman" w:cs="Times New Roman"/>
          <w:sz w:val="24"/>
          <w:szCs w:val="24"/>
        </w:rPr>
        <w:t>, Lagos: Princeton Publishing Co.</w:t>
      </w:r>
    </w:p>
    <w:p w:rsidR="007A0196" w:rsidRPr="00F35FA8" w:rsidRDefault="00F35FA8" w:rsidP="00F35FA8">
      <w:pPr>
        <w:pStyle w:val="ListParagraph"/>
        <w:numPr>
          <w:ilvl w:val="0"/>
          <w:numId w:val="3"/>
        </w:numPr>
        <w:spacing w:line="360" w:lineRule="auto"/>
        <w:rPr>
          <w:rFonts w:ascii="Times New Roman" w:hAnsi="Times New Roman" w:cs="Times New Roman"/>
          <w:sz w:val="24"/>
          <w:szCs w:val="24"/>
        </w:rPr>
      </w:pPr>
      <w:r w:rsidRPr="00F35FA8">
        <w:rPr>
          <w:rFonts w:ascii="Times New Roman" w:hAnsi="Times New Roman" w:cs="Times New Roman"/>
          <w:sz w:val="24"/>
          <w:szCs w:val="24"/>
        </w:rPr>
        <w:t xml:space="preserve"> </w:t>
      </w:r>
      <w:proofErr w:type="spellStart"/>
      <w:r w:rsidRPr="00F35FA8">
        <w:rPr>
          <w:rFonts w:ascii="Times New Roman" w:hAnsi="Times New Roman" w:cs="Times New Roman"/>
          <w:sz w:val="24"/>
          <w:szCs w:val="24"/>
        </w:rPr>
        <w:t>Kodilinye</w:t>
      </w:r>
      <w:proofErr w:type="spellEnd"/>
      <w:r w:rsidRPr="00F35FA8">
        <w:rPr>
          <w:rFonts w:ascii="Times New Roman" w:hAnsi="Times New Roman" w:cs="Times New Roman"/>
          <w:sz w:val="24"/>
          <w:szCs w:val="24"/>
        </w:rPr>
        <w:t xml:space="preserve"> and </w:t>
      </w:r>
      <w:proofErr w:type="spellStart"/>
      <w:r w:rsidRPr="00F35FA8">
        <w:rPr>
          <w:rFonts w:ascii="Times New Roman" w:hAnsi="Times New Roman" w:cs="Times New Roman"/>
          <w:sz w:val="24"/>
          <w:szCs w:val="24"/>
        </w:rPr>
        <w:t>Aluko</w:t>
      </w:r>
      <w:proofErr w:type="spellEnd"/>
      <w:r w:rsidRPr="00F35FA8">
        <w:rPr>
          <w:rFonts w:ascii="Times New Roman" w:hAnsi="Times New Roman" w:cs="Times New Roman"/>
          <w:sz w:val="24"/>
          <w:szCs w:val="24"/>
        </w:rPr>
        <w:t xml:space="preserve"> (2005), </w:t>
      </w:r>
      <w:r w:rsidRPr="00F35FA8">
        <w:rPr>
          <w:rFonts w:ascii="Times New Roman" w:hAnsi="Times New Roman" w:cs="Times New Roman"/>
          <w:i/>
          <w:sz w:val="24"/>
          <w:szCs w:val="24"/>
        </w:rPr>
        <w:t>The Nigerian Law of Torts</w:t>
      </w:r>
      <w:r>
        <w:rPr>
          <w:rFonts w:ascii="Times New Roman" w:hAnsi="Times New Roman" w:cs="Times New Roman"/>
          <w:sz w:val="24"/>
          <w:szCs w:val="24"/>
        </w:rPr>
        <w:t>, Revised Edition:</w:t>
      </w:r>
      <w:r w:rsidRPr="00F35FA8">
        <w:rPr>
          <w:rFonts w:ascii="Times New Roman" w:hAnsi="Times New Roman" w:cs="Times New Roman"/>
          <w:sz w:val="24"/>
          <w:szCs w:val="24"/>
        </w:rPr>
        <w:t xml:space="preserve"> Spectrum.</w:t>
      </w:r>
    </w:p>
    <w:p w:rsidR="007A0196" w:rsidRPr="00F35FA8" w:rsidRDefault="00F35FA8" w:rsidP="00F35FA8">
      <w:pPr>
        <w:pStyle w:val="ListParagraph"/>
        <w:numPr>
          <w:ilvl w:val="0"/>
          <w:numId w:val="3"/>
        </w:numPr>
        <w:spacing w:line="360" w:lineRule="auto"/>
        <w:rPr>
          <w:rFonts w:ascii="Times New Roman" w:hAnsi="Times New Roman" w:cs="Times New Roman"/>
          <w:sz w:val="24"/>
          <w:szCs w:val="24"/>
        </w:rPr>
      </w:pPr>
      <w:r w:rsidRPr="00F35FA8">
        <w:rPr>
          <w:rFonts w:ascii="Times New Roman" w:hAnsi="Times New Roman" w:cs="Times New Roman"/>
          <w:sz w:val="24"/>
          <w:szCs w:val="24"/>
        </w:rPr>
        <w:t xml:space="preserve">Winfield &amp; </w:t>
      </w:r>
      <w:proofErr w:type="spellStart"/>
      <w:r w:rsidRPr="00F35FA8">
        <w:rPr>
          <w:rFonts w:ascii="Times New Roman" w:hAnsi="Times New Roman" w:cs="Times New Roman"/>
          <w:sz w:val="24"/>
          <w:szCs w:val="24"/>
        </w:rPr>
        <w:t>Jolowicz</w:t>
      </w:r>
      <w:proofErr w:type="spellEnd"/>
      <w:r w:rsidRPr="00F35FA8">
        <w:rPr>
          <w:rFonts w:ascii="Times New Roman" w:hAnsi="Times New Roman" w:cs="Times New Roman"/>
          <w:sz w:val="24"/>
          <w:szCs w:val="24"/>
        </w:rPr>
        <w:t xml:space="preserve"> on Torts (2006), 17th ed. London: Sweet &amp; Maxwell.</w:t>
      </w:r>
    </w:p>
    <w:p w:rsidR="007A0196" w:rsidRPr="00F35FA8" w:rsidRDefault="00F35FA8" w:rsidP="00F35FA8">
      <w:pPr>
        <w:pStyle w:val="ListParagraph"/>
        <w:numPr>
          <w:ilvl w:val="0"/>
          <w:numId w:val="3"/>
        </w:numPr>
        <w:spacing w:line="360" w:lineRule="auto"/>
        <w:rPr>
          <w:rFonts w:ascii="Times New Roman" w:hAnsi="Times New Roman" w:cs="Times New Roman"/>
          <w:sz w:val="24"/>
          <w:szCs w:val="24"/>
        </w:rPr>
      </w:pPr>
      <w:r w:rsidRPr="00F35FA8">
        <w:rPr>
          <w:rFonts w:ascii="Times New Roman" w:hAnsi="Times New Roman" w:cs="Times New Roman"/>
          <w:sz w:val="24"/>
          <w:szCs w:val="24"/>
        </w:rPr>
        <w:t>&lt;https://www.lawteacher.net/free-law-essays/business-law/tort-of-passing-off-project-assignment-law-essays.php&gt; Last accessed 29/04/2020</w:t>
      </w:r>
    </w:p>
    <w:p w:rsidR="007A0196" w:rsidRDefault="007A0196"/>
    <w:p w:rsidR="007A0196" w:rsidRDefault="007A0196"/>
    <w:p w:rsidR="007A0196" w:rsidRDefault="007A0196"/>
    <w:p w:rsidR="007A0196" w:rsidRDefault="007A0196"/>
    <w:p w:rsidR="007A0196" w:rsidRDefault="007A0196" w:rsidP="007A0196">
      <w:pPr>
        <w:spacing w:line="360" w:lineRule="auto"/>
        <w:rPr>
          <w:rFonts w:ascii="Times New Roman" w:hAnsi="Times New Roman" w:cs="Times New Roman"/>
          <w:sz w:val="24"/>
          <w:szCs w:val="24"/>
        </w:rPr>
      </w:pPr>
    </w:p>
    <w:p w:rsidR="007A0196" w:rsidRPr="006D1966" w:rsidRDefault="007A0196" w:rsidP="007A0196">
      <w:pPr>
        <w:spacing w:line="360" w:lineRule="auto"/>
        <w:rPr>
          <w:rFonts w:ascii="Times New Roman" w:hAnsi="Times New Roman" w:cs="Times New Roman"/>
          <w:sz w:val="24"/>
          <w:szCs w:val="24"/>
          <w:lang w:val="en-GB"/>
        </w:rPr>
      </w:pPr>
    </w:p>
    <w:sectPr w:rsidR="007A0196" w:rsidRPr="006D1966" w:rsidSect="00B029FA">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58" w:rsidRDefault="00E70858" w:rsidP="00B029FA">
      <w:pPr>
        <w:spacing w:after="0" w:line="240" w:lineRule="auto"/>
      </w:pPr>
      <w:r>
        <w:separator/>
      </w:r>
    </w:p>
  </w:endnote>
  <w:endnote w:type="continuationSeparator" w:id="0">
    <w:p w:rsidR="00E70858" w:rsidRDefault="00E70858" w:rsidP="00B0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165017"/>
      <w:docPartObj>
        <w:docPartGallery w:val="Page Numbers (Bottom of Page)"/>
        <w:docPartUnique/>
      </w:docPartObj>
    </w:sdtPr>
    <w:sdtEndPr>
      <w:rPr>
        <w:noProof/>
      </w:rPr>
    </w:sdtEndPr>
    <w:sdtContent>
      <w:p w:rsidR="00B029FA" w:rsidRDefault="00B029FA">
        <w:pPr>
          <w:pStyle w:val="Footer"/>
          <w:jc w:val="right"/>
        </w:pPr>
        <w:r>
          <w:fldChar w:fldCharType="begin"/>
        </w:r>
        <w:r>
          <w:instrText xml:space="preserve"> PAGE   \* MERGEFORMAT </w:instrText>
        </w:r>
        <w:r>
          <w:fldChar w:fldCharType="separate"/>
        </w:r>
        <w:r w:rsidR="000D3C14">
          <w:rPr>
            <w:noProof/>
          </w:rPr>
          <w:t>7</w:t>
        </w:r>
        <w:r>
          <w:rPr>
            <w:noProof/>
          </w:rPr>
          <w:fldChar w:fldCharType="end"/>
        </w:r>
      </w:p>
    </w:sdtContent>
  </w:sdt>
  <w:p w:rsidR="00B029FA" w:rsidRDefault="00B0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58" w:rsidRDefault="00E70858" w:rsidP="00B029FA">
      <w:pPr>
        <w:spacing w:after="0" w:line="240" w:lineRule="auto"/>
      </w:pPr>
      <w:r>
        <w:separator/>
      </w:r>
    </w:p>
  </w:footnote>
  <w:footnote w:type="continuationSeparator" w:id="0">
    <w:p w:rsidR="00E70858" w:rsidRDefault="00E70858" w:rsidP="00B029FA">
      <w:pPr>
        <w:spacing w:after="0" w:line="240" w:lineRule="auto"/>
      </w:pPr>
      <w:r>
        <w:continuationSeparator/>
      </w:r>
    </w:p>
  </w:footnote>
  <w:footnote w:id="1">
    <w:p w:rsidR="00B029FA" w:rsidRPr="00E4470E" w:rsidRDefault="00B029FA" w:rsidP="00B029FA">
      <w:pPr>
        <w:pStyle w:val="FootnoteText"/>
      </w:pPr>
      <w:r>
        <w:rPr>
          <w:rStyle w:val="FootnoteReference"/>
        </w:rPr>
        <w:footnoteRef/>
      </w:r>
      <w:r>
        <w:t xml:space="preserve"> [1706] 103 Eng. Rep. KB</w:t>
      </w:r>
    </w:p>
  </w:footnote>
  <w:footnote w:id="2">
    <w:p w:rsidR="00B029FA" w:rsidRPr="00F10189" w:rsidRDefault="00B029FA" w:rsidP="00B029FA">
      <w:pPr>
        <w:pStyle w:val="FootnoteText"/>
        <w:rPr>
          <w:lang w:val="en-US"/>
        </w:rPr>
      </w:pPr>
      <w:r>
        <w:rPr>
          <w:rStyle w:val="FootnoteReference"/>
        </w:rPr>
        <w:footnoteRef/>
      </w:r>
      <w:r>
        <w:t xml:space="preserve"> </w:t>
      </w:r>
      <w:r w:rsidRPr="00F10189">
        <w:t xml:space="preserve"> </w:t>
      </w:r>
      <w:proofErr w:type="spellStart"/>
      <w:r w:rsidRPr="00F10189">
        <w:t>Winifield</w:t>
      </w:r>
      <w:proofErr w:type="spellEnd"/>
      <w:r w:rsidRPr="00F10189">
        <w:t xml:space="preserve"> &amp; </w:t>
      </w:r>
      <w:proofErr w:type="spellStart"/>
      <w:r w:rsidRPr="00F10189">
        <w:t>Jolowicz</w:t>
      </w:r>
      <w:proofErr w:type="spellEnd"/>
      <w:r w:rsidRPr="00F10189">
        <w:t xml:space="preserve"> on Torts (2006): 17th ed. [London: Sweet &amp; Maxwell] p. 535.  </w:t>
      </w:r>
    </w:p>
  </w:footnote>
  <w:footnote w:id="3">
    <w:p w:rsidR="00B029FA" w:rsidRPr="00F10189" w:rsidRDefault="00B029FA" w:rsidP="00B029FA">
      <w:pPr>
        <w:pStyle w:val="FootnoteText"/>
        <w:rPr>
          <w:lang w:val="en-US"/>
        </w:rPr>
      </w:pPr>
      <w:r>
        <w:rPr>
          <w:rStyle w:val="FootnoteReference"/>
        </w:rPr>
        <w:footnoteRef/>
      </w:r>
      <w:r>
        <w:t xml:space="preserve"> [1842]</w:t>
      </w:r>
      <w:r w:rsidRPr="00F10189">
        <w:t xml:space="preserve"> 49 ER 749 at 725.  </w:t>
      </w:r>
    </w:p>
  </w:footnote>
  <w:footnote w:id="4">
    <w:p w:rsidR="00B029FA" w:rsidRDefault="00B029FA" w:rsidP="00B029FA">
      <w:pPr>
        <w:pStyle w:val="FootnoteText"/>
      </w:pPr>
      <w:r>
        <w:rPr>
          <w:rStyle w:val="FootnoteReference"/>
        </w:rPr>
        <w:footnoteRef/>
      </w:r>
      <w:r>
        <w:t xml:space="preserve"> [</w:t>
      </w:r>
      <w:r>
        <w:rPr>
          <w:lang w:val="en-US"/>
        </w:rPr>
        <w:t>1996]</w:t>
      </w:r>
      <w:r w:rsidRPr="00F81349">
        <w:rPr>
          <w:lang w:val="en-US"/>
        </w:rPr>
        <w:t xml:space="preserve"> 2 ARBLR 488 SC  </w:t>
      </w:r>
    </w:p>
  </w:footnote>
  <w:footnote w:id="5">
    <w:p w:rsidR="00B029FA" w:rsidRDefault="00B029FA" w:rsidP="00B029FA">
      <w:pPr>
        <w:pStyle w:val="FootnoteText"/>
      </w:pPr>
      <w:r>
        <w:rPr>
          <w:rStyle w:val="FootnoteReference"/>
        </w:rPr>
        <w:footnoteRef/>
      </w:r>
      <w:r>
        <w:t xml:space="preserve"> </w:t>
      </w:r>
      <w:r w:rsidRPr="00F81349">
        <w:rPr>
          <w:lang w:val="en-US"/>
        </w:rPr>
        <w:t xml:space="preserve">&lt;https://www.lawteacher.net/free-law-essays/business-law/tort-of-passing-off-project-assignment-law-essays.php&gt;.  </w:t>
      </w:r>
    </w:p>
  </w:footnote>
  <w:footnote w:id="6">
    <w:p w:rsidR="00B029FA" w:rsidRDefault="00B029FA" w:rsidP="00B029FA">
      <w:pPr>
        <w:pStyle w:val="FootnoteText"/>
      </w:pPr>
      <w:r>
        <w:rPr>
          <w:rStyle w:val="FootnoteReference"/>
        </w:rPr>
        <w:footnoteRef/>
      </w:r>
      <w:r>
        <w:t xml:space="preserve"> [1961 ALL NLR 180 at 182</w:t>
      </w:r>
    </w:p>
  </w:footnote>
  <w:footnote w:id="7">
    <w:p w:rsidR="00B029FA" w:rsidRDefault="00B029FA" w:rsidP="00B029FA">
      <w:pPr>
        <w:pStyle w:val="FootnoteText"/>
      </w:pPr>
      <w:r>
        <w:rPr>
          <w:rStyle w:val="FootnoteReference"/>
        </w:rPr>
        <w:footnoteRef/>
      </w:r>
      <w:r>
        <w:t xml:space="preserve"> [1881] 50 LJ </w:t>
      </w:r>
      <w:proofErr w:type="spellStart"/>
      <w:r>
        <w:t>Ch</w:t>
      </w:r>
      <w:proofErr w:type="spellEnd"/>
      <w:r>
        <w:t xml:space="preserve"> 456</w:t>
      </w:r>
    </w:p>
  </w:footnote>
  <w:footnote w:id="8">
    <w:p w:rsidR="00B029FA" w:rsidRDefault="00B029FA" w:rsidP="00B029FA">
      <w:pPr>
        <w:pStyle w:val="FootnoteText"/>
      </w:pPr>
      <w:r>
        <w:rPr>
          <w:rStyle w:val="FootnoteReference"/>
        </w:rPr>
        <w:footnoteRef/>
      </w:r>
      <w:r>
        <w:t xml:space="preserve"> [1971] 1 UILR 417</w:t>
      </w:r>
    </w:p>
  </w:footnote>
  <w:footnote w:id="9">
    <w:p w:rsidR="00B029FA" w:rsidRDefault="00B029FA" w:rsidP="00B029FA">
      <w:pPr>
        <w:pStyle w:val="FootnoteText"/>
      </w:pPr>
      <w:r>
        <w:rPr>
          <w:rStyle w:val="FootnoteReference"/>
        </w:rPr>
        <w:footnoteRef/>
      </w:r>
      <w:r>
        <w:t xml:space="preserve"> [1816] 35 ER 851</w:t>
      </w:r>
    </w:p>
  </w:footnote>
  <w:footnote w:id="10">
    <w:p w:rsidR="00B029FA" w:rsidRPr="00C30AC8" w:rsidRDefault="00B029FA" w:rsidP="00B029FA">
      <w:pPr>
        <w:pStyle w:val="FootnoteText"/>
      </w:pPr>
      <w:r>
        <w:rPr>
          <w:rStyle w:val="FootnoteReference"/>
        </w:rPr>
        <w:footnoteRef/>
      </w:r>
      <w:r>
        <w:t xml:space="preserve"> </w:t>
      </w:r>
      <w:r w:rsidRPr="00C30AC8">
        <w:rPr>
          <w:bCs/>
          <w:iCs/>
          <w:lang w:val="en-US"/>
        </w:rPr>
        <w:t>[1842] 49 ET 749</w:t>
      </w:r>
    </w:p>
  </w:footnote>
  <w:footnote w:id="11">
    <w:p w:rsidR="00B029FA" w:rsidRPr="00C30AC8" w:rsidRDefault="00B029FA" w:rsidP="00B029FA">
      <w:pPr>
        <w:pStyle w:val="FootnoteText"/>
      </w:pPr>
      <w:r>
        <w:rPr>
          <w:rStyle w:val="FootnoteReference"/>
        </w:rPr>
        <w:footnoteRef/>
      </w:r>
      <w:r>
        <w:t xml:space="preserve"> See also </w:t>
      </w:r>
      <w:r w:rsidRPr="00C30AC8">
        <w:rPr>
          <w:bCs/>
          <w:i/>
          <w:iCs/>
          <w:lang w:val="en-US"/>
        </w:rPr>
        <w:t>Reckitt &amp; Colman Ltd v. Borden</w:t>
      </w:r>
      <w:r>
        <w:rPr>
          <w:bCs/>
          <w:iCs/>
          <w:lang w:val="en-US"/>
        </w:rPr>
        <w:t xml:space="preserve"> [1990]</w:t>
      </w:r>
      <w:r w:rsidRPr="00C30AC8">
        <w:rPr>
          <w:bCs/>
          <w:iCs/>
          <w:lang w:val="en-US"/>
        </w:rPr>
        <w:t xml:space="preserve"> I WLR 491 HL</w:t>
      </w:r>
      <w:r w:rsidRPr="00C30AC8">
        <w:rPr>
          <w:lang w:val="en-US"/>
        </w:rPr>
        <w:t>.</w:t>
      </w:r>
    </w:p>
  </w:footnote>
  <w:footnote w:id="12">
    <w:p w:rsidR="00B029FA" w:rsidRDefault="00B029FA" w:rsidP="00B029FA">
      <w:pPr>
        <w:pStyle w:val="FootnoteText"/>
      </w:pPr>
      <w:r>
        <w:rPr>
          <w:rStyle w:val="FootnoteReference"/>
        </w:rPr>
        <w:footnoteRef/>
      </w:r>
      <w:r>
        <w:t xml:space="preserve"> </w:t>
      </w:r>
      <w:r>
        <w:rPr>
          <w:bCs/>
          <w:iCs/>
          <w:lang w:val="en-US"/>
        </w:rPr>
        <w:t>[1959]</w:t>
      </w:r>
      <w:r w:rsidRPr="002F3BED">
        <w:rPr>
          <w:bCs/>
          <w:iCs/>
          <w:lang w:val="en-US"/>
        </w:rPr>
        <w:t xml:space="preserve"> LLR 33</w:t>
      </w:r>
    </w:p>
  </w:footnote>
  <w:footnote w:id="13">
    <w:p w:rsidR="00B029FA" w:rsidRPr="0032395F" w:rsidRDefault="00B029FA" w:rsidP="00B029FA">
      <w:pPr>
        <w:pStyle w:val="FootnoteText"/>
        <w:rPr>
          <w:lang w:val="en-US"/>
        </w:rPr>
      </w:pPr>
      <w:r>
        <w:rPr>
          <w:rStyle w:val="FootnoteReference"/>
        </w:rPr>
        <w:footnoteRef/>
      </w:r>
      <w:r>
        <w:t xml:space="preserve"> This principle was shown in </w:t>
      </w:r>
      <w:r>
        <w:rPr>
          <w:bCs/>
          <w:i/>
          <w:iCs/>
          <w:lang w:val="en-US"/>
        </w:rPr>
        <w:t>Cadbury Schweppes</w:t>
      </w:r>
      <w:r w:rsidRPr="002F3BED">
        <w:rPr>
          <w:bCs/>
          <w:i/>
          <w:iCs/>
          <w:lang w:val="en-US"/>
        </w:rPr>
        <w:t xml:space="preserve"> </w:t>
      </w:r>
      <w:proofErr w:type="spellStart"/>
      <w:r>
        <w:rPr>
          <w:bCs/>
          <w:i/>
          <w:iCs/>
          <w:lang w:val="en-US"/>
        </w:rPr>
        <w:t>pty</w:t>
      </w:r>
      <w:proofErr w:type="spellEnd"/>
      <w:r>
        <w:rPr>
          <w:bCs/>
          <w:i/>
          <w:iCs/>
          <w:lang w:val="en-US"/>
        </w:rPr>
        <w:t xml:space="preserve"> </w:t>
      </w:r>
      <w:r w:rsidRPr="002F3BED">
        <w:rPr>
          <w:bCs/>
          <w:i/>
          <w:iCs/>
          <w:lang w:val="en-US"/>
        </w:rPr>
        <w:t xml:space="preserve">Ltd v. Pub Squash Co. </w:t>
      </w:r>
      <w:proofErr w:type="spellStart"/>
      <w:r w:rsidRPr="002F3BED">
        <w:rPr>
          <w:bCs/>
          <w:i/>
          <w:iCs/>
          <w:lang w:val="en-US"/>
        </w:rPr>
        <w:t>pty</w:t>
      </w:r>
      <w:proofErr w:type="spellEnd"/>
      <w:r w:rsidRPr="002F3BED">
        <w:rPr>
          <w:bCs/>
          <w:i/>
          <w:iCs/>
          <w:lang w:val="en-US"/>
        </w:rPr>
        <w:t xml:space="preserve"> Ltd </w:t>
      </w:r>
      <w:r>
        <w:rPr>
          <w:bCs/>
          <w:iCs/>
          <w:lang w:val="en-US"/>
        </w:rPr>
        <w:t>[1981]</w:t>
      </w:r>
      <w:r w:rsidRPr="002F3BED">
        <w:rPr>
          <w:bCs/>
          <w:iCs/>
          <w:lang w:val="en-US"/>
        </w:rPr>
        <w:t xml:space="preserve"> I ALL ER 213 PC</w:t>
      </w:r>
      <w:r w:rsidRPr="002F3BED">
        <w:rPr>
          <w:lang w:val="en-US"/>
        </w:rPr>
        <w:t>.</w:t>
      </w:r>
    </w:p>
  </w:footnote>
  <w:footnote w:id="14">
    <w:p w:rsidR="00B029FA" w:rsidRPr="0032395F" w:rsidRDefault="00B029FA" w:rsidP="00B029FA">
      <w:pPr>
        <w:pStyle w:val="FootnoteText"/>
      </w:pPr>
      <w:r>
        <w:rPr>
          <w:rStyle w:val="FootnoteReference"/>
        </w:rPr>
        <w:footnoteRef/>
      </w:r>
      <w:r>
        <w:t xml:space="preserve"> </w:t>
      </w:r>
      <w:r w:rsidRPr="0032395F">
        <w:rPr>
          <w:bCs/>
          <w:i/>
          <w:iCs/>
          <w:lang w:val="en-US"/>
        </w:rPr>
        <w:t xml:space="preserve">Wilts Ltd v. Thomas Robinson Sons &amp; Co Ltd </w:t>
      </w:r>
      <w:r>
        <w:rPr>
          <w:bCs/>
          <w:iCs/>
          <w:lang w:val="en-US"/>
        </w:rPr>
        <w:t>[1958]</w:t>
      </w:r>
      <w:r w:rsidRPr="0032395F">
        <w:rPr>
          <w:bCs/>
          <w:iCs/>
          <w:lang w:val="en-US"/>
        </w:rPr>
        <w:t xml:space="preserve"> RPC 94 CA</w:t>
      </w:r>
    </w:p>
  </w:footnote>
  <w:footnote w:id="15">
    <w:p w:rsidR="00B029FA" w:rsidRDefault="00B029FA" w:rsidP="00B029FA">
      <w:pPr>
        <w:pStyle w:val="FootnoteText"/>
      </w:pPr>
      <w:r>
        <w:rPr>
          <w:rStyle w:val="FootnoteReference"/>
        </w:rPr>
        <w:footnoteRef/>
      </w:r>
      <w:r>
        <w:t xml:space="preserve"> </w:t>
      </w:r>
      <w:r w:rsidRPr="0032395F">
        <w:rPr>
          <w:bCs/>
          <w:i/>
          <w:iCs/>
          <w:lang w:val="en-US"/>
        </w:rPr>
        <w:t xml:space="preserve">Cadbury Schweppes </w:t>
      </w:r>
      <w:proofErr w:type="spellStart"/>
      <w:r w:rsidRPr="0032395F">
        <w:rPr>
          <w:bCs/>
          <w:i/>
          <w:iCs/>
          <w:lang w:val="en-US"/>
        </w:rPr>
        <w:t>pty</w:t>
      </w:r>
      <w:proofErr w:type="spellEnd"/>
      <w:r w:rsidRPr="0032395F">
        <w:rPr>
          <w:bCs/>
          <w:i/>
          <w:iCs/>
          <w:lang w:val="en-US"/>
        </w:rPr>
        <w:t xml:space="preserve"> Ltd v. Pub Squash Co. </w:t>
      </w:r>
      <w:proofErr w:type="spellStart"/>
      <w:r w:rsidRPr="0032395F">
        <w:rPr>
          <w:bCs/>
          <w:i/>
          <w:iCs/>
          <w:lang w:val="en-US"/>
        </w:rPr>
        <w:t>pty</w:t>
      </w:r>
      <w:proofErr w:type="spellEnd"/>
      <w:r w:rsidRPr="0032395F">
        <w:rPr>
          <w:bCs/>
          <w:i/>
          <w:iCs/>
          <w:lang w:val="en-US"/>
        </w:rPr>
        <w:t xml:space="preserve"> Ltd</w:t>
      </w:r>
      <w:r>
        <w:rPr>
          <w:bCs/>
          <w:i/>
          <w:iCs/>
          <w:lang w:val="en-US"/>
        </w:rPr>
        <w:t xml:space="preserve"> SUPRA</w:t>
      </w:r>
    </w:p>
  </w:footnote>
  <w:footnote w:id="16">
    <w:p w:rsidR="00B029FA" w:rsidRPr="0032395F" w:rsidRDefault="00B029FA" w:rsidP="00B029FA">
      <w:pPr>
        <w:pStyle w:val="FootnoteText"/>
        <w:rPr>
          <w:lang w:val="en-US"/>
        </w:rPr>
      </w:pPr>
      <w:r>
        <w:rPr>
          <w:rStyle w:val="FootnoteReference"/>
        </w:rPr>
        <w:footnoteRef/>
      </w:r>
      <w:r>
        <w:t xml:space="preserve"> </w:t>
      </w:r>
      <w:r w:rsidRPr="0032395F">
        <w:rPr>
          <w:bCs/>
          <w:i/>
          <w:iCs/>
          <w:lang w:val="en-US"/>
        </w:rPr>
        <w:t xml:space="preserve">John Walker &amp; Son Ltd v. Henry </w:t>
      </w:r>
      <w:proofErr w:type="spellStart"/>
      <w:r w:rsidRPr="0032395F">
        <w:rPr>
          <w:bCs/>
          <w:i/>
          <w:iCs/>
          <w:lang w:val="en-US"/>
        </w:rPr>
        <w:t>Ost</w:t>
      </w:r>
      <w:proofErr w:type="spellEnd"/>
      <w:r w:rsidRPr="0032395F">
        <w:rPr>
          <w:bCs/>
          <w:i/>
          <w:iCs/>
          <w:lang w:val="en-US"/>
        </w:rPr>
        <w:t xml:space="preserve"> &amp; Co. Ltd </w:t>
      </w:r>
      <w:r>
        <w:rPr>
          <w:bCs/>
          <w:iCs/>
          <w:lang w:val="en-US"/>
        </w:rPr>
        <w:t xml:space="preserve">[1970] </w:t>
      </w:r>
      <w:r w:rsidRPr="0032395F">
        <w:rPr>
          <w:bCs/>
          <w:iCs/>
          <w:lang w:val="en-US"/>
        </w:rPr>
        <w:t>2 ALL ER 106</w:t>
      </w:r>
      <w:r>
        <w:rPr>
          <w:lang w:val="en-US"/>
        </w:rPr>
        <w:t xml:space="preserve">. </w:t>
      </w:r>
    </w:p>
  </w:footnote>
  <w:footnote w:id="17">
    <w:p w:rsidR="00B029FA" w:rsidRDefault="00B029FA" w:rsidP="00B029FA">
      <w:pPr>
        <w:pStyle w:val="FootnoteText"/>
      </w:pPr>
      <w:r>
        <w:rPr>
          <w:rStyle w:val="FootnoteReference"/>
        </w:rPr>
        <w:footnoteRef/>
      </w:r>
      <w:r>
        <w:t xml:space="preserve"> This defence will however only affect the amount of damages to be awarded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FA" w:rsidRPr="00B029FA" w:rsidRDefault="00B029FA">
    <w:pPr>
      <w:pStyle w:val="Header"/>
      <w:rPr>
        <w:lang w:val="en-GB"/>
      </w:rPr>
    </w:pPr>
    <w:r>
      <w:rPr>
        <w:lang w:val="en-GB"/>
      </w:rPr>
      <w:t xml:space="preserve">                                                                                                                                                                17/LAW01/287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0FF5"/>
    <w:multiLevelType w:val="hybridMultilevel"/>
    <w:tmpl w:val="BE9A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75E4A"/>
    <w:multiLevelType w:val="hybridMultilevel"/>
    <w:tmpl w:val="055AAF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312541"/>
    <w:multiLevelType w:val="hybridMultilevel"/>
    <w:tmpl w:val="6F06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6"/>
    <w:rsid w:val="000158B3"/>
    <w:rsid w:val="000D3C14"/>
    <w:rsid w:val="000F6110"/>
    <w:rsid w:val="001078E0"/>
    <w:rsid w:val="001A72E4"/>
    <w:rsid w:val="0030382E"/>
    <w:rsid w:val="00477064"/>
    <w:rsid w:val="004F4DA2"/>
    <w:rsid w:val="00505F7C"/>
    <w:rsid w:val="00570833"/>
    <w:rsid w:val="00624A11"/>
    <w:rsid w:val="006D1966"/>
    <w:rsid w:val="007A0196"/>
    <w:rsid w:val="00991660"/>
    <w:rsid w:val="00B029FA"/>
    <w:rsid w:val="00BB0CBB"/>
    <w:rsid w:val="00C6313E"/>
    <w:rsid w:val="00CB1138"/>
    <w:rsid w:val="00E70858"/>
    <w:rsid w:val="00F3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E7ED3-4082-4AC7-8103-87972379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FA"/>
  </w:style>
  <w:style w:type="paragraph" w:styleId="Footer">
    <w:name w:val="footer"/>
    <w:basedOn w:val="Normal"/>
    <w:link w:val="FooterChar"/>
    <w:uiPriority w:val="99"/>
    <w:unhideWhenUsed/>
    <w:rsid w:val="00B0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FA"/>
  </w:style>
  <w:style w:type="paragraph" w:styleId="ListParagraph">
    <w:name w:val="List Paragraph"/>
    <w:basedOn w:val="Normal"/>
    <w:uiPriority w:val="34"/>
    <w:qFormat/>
    <w:rsid w:val="00B029FA"/>
    <w:pPr>
      <w:spacing w:line="256" w:lineRule="auto"/>
      <w:ind w:left="720"/>
      <w:contextualSpacing/>
    </w:pPr>
    <w:rPr>
      <w:lang w:val="en-GB"/>
    </w:rPr>
  </w:style>
  <w:style w:type="paragraph" w:styleId="FootnoteText">
    <w:name w:val="footnote text"/>
    <w:basedOn w:val="Normal"/>
    <w:link w:val="FootnoteTextChar"/>
    <w:uiPriority w:val="99"/>
    <w:semiHidden/>
    <w:unhideWhenUsed/>
    <w:rsid w:val="00B029F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029FA"/>
    <w:rPr>
      <w:sz w:val="20"/>
      <w:szCs w:val="20"/>
      <w:lang w:val="en-GB"/>
    </w:rPr>
  </w:style>
  <w:style w:type="character" w:styleId="FootnoteReference">
    <w:name w:val="footnote reference"/>
    <w:basedOn w:val="DefaultParagraphFont"/>
    <w:uiPriority w:val="99"/>
    <w:semiHidden/>
    <w:unhideWhenUsed/>
    <w:rsid w:val="00B029FA"/>
    <w:rPr>
      <w:vertAlign w:val="superscript"/>
    </w:rPr>
  </w:style>
  <w:style w:type="character" w:styleId="Hyperlink">
    <w:name w:val="Hyperlink"/>
    <w:basedOn w:val="DefaultParagraphFont"/>
    <w:uiPriority w:val="99"/>
    <w:unhideWhenUsed/>
    <w:rsid w:val="00F35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ADFC-67E5-4CB6-BDDE-B6714E0B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Unugbua</dc:creator>
  <cp:keywords/>
  <dc:description/>
  <cp:lastModifiedBy>Esther Unugbua</cp:lastModifiedBy>
  <cp:revision>4</cp:revision>
  <dcterms:created xsi:type="dcterms:W3CDTF">2020-04-27T12:35:00Z</dcterms:created>
  <dcterms:modified xsi:type="dcterms:W3CDTF">2020-05-07T19:44:00Z</dcterms:modified>
</cp:coreProperties>
</file>