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3870" w:rsidRDefault="00693870" w:rsidP="00693870">
      <w:pPr>
        <w:rPr>
          <w:rFonts w:ascii="Arial" w:hAnsi="Arial" w:cs="Arial"/>
          <w:b/>
          <w:bCs/>
          <w:sz w:val="40"/>
          <w:szCs w:val="40"/>
          <w:u w:val="single"/>
          <w:lang w:val="en-GB"/>
        </w:rPr>
      </w:pPr>
      <w:r>
        <w:rPr>
          <w:rFonts w:ascii="Arial" w:hAnsi="Arial" w:cs="Arial"/>
          <w:b/>
          <w:bCs/>
          <w:sz w:val="40"/>
          <w:szCs w:val="40"/>
          <w:u w:val="single"/>
          <w:lang w:val="en-GB"/>
        </w:rPr>
        <w:t>Name: Obaniwa Abraham</w:t>
      </w:r>
    </w:p>
    <w:p w:rsidR="00693870" w:rsidRPr="00693870" w:rsidRDefault="00693870" w:rsidP="00693870">
      <w:pPr>
        <w:rPr>
          <w:rFonts w:ascii="Arial" w:hAnsi="Arial" w:cs="Arial"/>
          <w:b/>
          <w:bCs/>
          <w:sz w:val="40"/>
          <w:szCs w:val="40"/>
          <w:u w:val="single"/>
          <w:lang w:val="en-GB"/>
        </w:rPr>
      </w:pPr>
      <w:r>
        <w:rPr>
          <w:rFonts w:ascii="Arial" w:hAnsi="Arial" w:cs="Arial"/>
          <w:b/>
          <w:bCs/>
          <w:sz w:val="40"/>
          <w:szCs w:val="40"/>
          <w:u w:val="single"/>
          <w:lang w:val="en-GB"/>
        </w:rPr>
        <w:t>19/law01/160</w:t>
      </w:r>
    </w:p>
    <w:p w:rsidR="00693870" w:rsidRDefault="00693870" w:rsidP="001D7001">
      <w:pPr>
        <w:jc w:val="center"/>
        <w:rPr>
          <w:rFonts w:ascii="Arial" w:hAnsi="Arial" w:cs="Arial"/>
          <w:b/>
          <w:bCs/>
          <w:sz w:val="40"/>
          <w:szCs w:val="40"/>
          <w:u w:val="single"/>
        </w:rPr>
      </w:pPr>
    </w:p>
    <w:p w:rsidR="00693870" w:rsidRDefault="00693870" w:rsidP="001D7001">
      <w:pPr>
        <w:jc w:val="center"/>
        <w:rPr>
          <w:rFonts w:ascii="Arial" w:hAnsi="Arial" w:cs="Arial"/>
          <w:b/>
          <w:bCs/>
          <w:sz w:val="40"/>
          <w:szCs w:val="40"/>
          <w:u w:val="single"/>
        </w:rPr>
      </w:pPr>
    </w:p>
    <w:p w:rsidR="003F6613" w:rsidRPr="001D7001" w:rsidRDefault="00304678" w:rsidP="001D7001">
      <w:pPr>
        <w:jc w:val="center"/>
        <w:rPr>
          <w:rFonts w:ascii="Arial" w:hAnsi="Arial" w:cs="Arial"/>
          <w:b/>
          <w:bCs/>
          <w:sz w:val="40"/>
          <w:szCs w:val="40"/>
          <w:u w:val="single"/>
        </w:rPr>
      </w:pPr>
      <w:r w:rsidRPr="001D7001">
        <w:rPr>
          <w:rFonts w:ascii="Arial" w:hAnsi="Arial" w:cs="Arial"/>
          <w:b/>
          <w:bCs/>
          <w:sz w:val="40"/>
          <w:szCs w:val="40"/>
          <w:u w:val="single"/>
        </w:rPr>
        <w:t>ASSINGMENT</w:t>
      </w:r>
    </w:p>
    <w:p w:rsidR="003F6613" w:rsidRPr="00B30602" w:rsidRDefault="00304678">
      <w:pPr>
        <w:rPr>
          <w:rFonts w:ascii="Times New Roman" w:hAnsi="Times New Roman" w:cs="Times New Roman"/>
          <w:sz w:val="24"/>
          <w:szCs w:val="24"/>
        </w:rPr>
      </w:pPr>
      <w:r w:rsidRPr="00B30602">
        <w:rPr>
          <w:rFonts w:ascii="Times New Roman" w:hAnsi="Times New Roman" w:cs="Times New Roman"/>
          <w:sz w:val="24"/>
          <w:szCs w:val="24"/>
        </w:rPr>
        <w:t xml:space="preserve"> </w:t>
      </w:r>
      <w:r w:rsidRPr="00B30602">
        <w:rPr>
          <w:rFonts w:ascii="Times New Roman" w:hAnsi="Times New Roman" w:cs="Times New Roman"/>
          <w:sz w:val="24"/>
          <w:szCs w:val="24"/>
        </w:rPr>
        <w:t> Discuss secondary sources of law in Nigeria</w:t>
      </w:r>
    </w:p>
    <w:p w:rsidR="003F6613" w:rsidRPr="009077C3" w:rsidRDefault="00304678" w:rsidP="00F173D3">
      <w:pPr>
        <w:jc w:val="center"/>
        <w:rPr>
          <w:rFonts w:ascii="Arial" w:hAnsi="Arial" w:cs="Arial"/>
          <w:b/>
          <w:bCs/>
          <w:sz w:val="40"/>
          <w:szCs w:val="40"/>
        </w:rPr>
      </w:pPr>
      <w:r w:rsidRPr="009077C3">
        <w:rPr>
          <w:rFonts w:ascii="Arial" w:hAnsi="Arial" w:cs="Arial"/>
          <w:b/>
          <w:bCs/>
          <w:sz w:val="40"/>
          <w:szCs w:val="40"/>
        </w:rPr>
        <w:t>Answers</w:t>
      </w:r>
    </w:p>
    <w:p w:rsidR="009B3907" w:rsidRPr="003D0BCB" w:rsidRDefault="009B3907">
      <w:pPr>
        <w:rPr>
          <w:rFonts w:ascii="Times New Roman" w:hAnsi="Times New Roman" w:cs="Times New Roman"/>
          <w:sz w:val="24"/>
          <w:szCs w:val="24"/>
          <w:u w:val="single"/>
        </w:rPr>
      </w:pPr>
      <w:r w:rsidRPr="003D0BCB">
        <w:rPr>
          <w:rFonts w:ascii="Times New Roman" w:hAnsi="Times New Roman" w:cs="Times New Roman"/>
          <w:sz w:val="24"/>
          <w:szCs w:val="24"/>
          <w:u w:val="single"/>
          <w:lang w:val="en-GB"/>
        </w:rPr>
        <w:t>S</w:t>
      </w:r>
      <w:r w:rsidR="00304678" w:rsidRPr="003D0BCB">
        <w:rPr>
          <w:rFonts w:ascii="Times New Roman" w:hAnsi="Times New Roman" w:cs="Times New Roman"/>
          <w:sz w:val="24"/>
          <w:szCs w:val="24"/>
          <w:u w:val="single"/>
        </w:rPr>
        <w:t>econdary Sources of Nigerian Law</w:t>
      </w:r>
    </w:p>
    <w:p w:rsidR="000F4082" w:rsidRDefault="00447CA8" w:rsidP="00EA4383">
      <w:pPr>
        <w:ind w:firstLine="720"/>
        <w:rPr>
          <w:rFonts w:ascii="Times New Roman" w:hAnsi="Times New Roman" w:cs="Times New Roman"/>
          <w:sz w:val="24"/>
          <w:szCs w:val="24"/>
        </w:rPr>
      </w:pPr>
      <w:r>
        <w:rPr>
          <w:rFonts w:ascii="Times New Roman" w:hAnsi="Times New Roman" w:cs="Times New Roman"/>
          <w:sz w:val="24"/>
          <w:szCs w:val="24"/>
          <w:lang w:val="en-GB"/>
        </w:rPr>
        <w:t xml:space="preserve"> </w:t>
      </w:r>
      <w:r w:rsidR="00304678" w:rsidRPr="00CF2078">
        <w:rPr>
          <w:rFonts w:ascii="Times New Roman" w:hAnsi="Times New Roman" w:cs="Times New Roman"/>
          <w:sz w:val="24"/>
          <w:szCs w:val="24"/>
        </w:rPr>
        <w:t xml:space="preserve">Secondary sources of law are the sources of law that do not carry a dominant legal weight and binding effect. The legal authorities </w:t>
      </w:r>
      <w:r>
        <w:rPr>
          <w:rFonts w:ascii="Times New Roman" w:hAnsi="Times New Roman" w:cs="Times New Roman"/>
          <w:sz w:val="24"/>
          <w:szCs w:val="24"/>
        </w:rPr>
        <w:t>contained</w:t>
      </w:r>
      <w:r>
        <w:rPr>
          <w:rFonts w:ascii="Times New Roman" w:hAnsi="Times New Roman" w:cs="Times New Roman"/>
          <w:sz w:val="24"/>
          <w:szCs w:val="24"/>
          <w:lang w:val="en-GB"/>
        </w:rPr>
        <w:t xml:space="preserve"> </w:t>
      </w:r>
      <w:r w:rsidR="00304678" w:rsidRPr="00CF2078">
        <w:rPr>
          <w:rFonts w:ascii="Times New Roman" w:hAnsi="Times New Roman" w:cs="Times New Roman"/>
          <w:sz w:val="24"/>
          <w:szCs w:val="24"/>
        </w:rPr>
        <w:t xml:space="preserve">in these kinds of sources are diluted and persuasive which are not binding on any court of law. According to Beredugo (2009), secondary sources of law are less significance sources of law that barely </w:t>
      </w:r>
      <w:r>
        <w:rPr>
          <w:rFonts w:ascii="Times New Roman" w:hAnsi="Times New Roman" w:cs="Times New Roman"/>
          <w:sz w:val="24"/>
          <w:szCs w:val="24"/>
          <w:lang w:val="en-GB"/>
        </w:rPr>
        <w:t xml:space="preserve">carry </w:t>
      </w:r>
      <w:r w:rsidR="00304678" w:rsidRPr="00CF2078">
        <w:rPr>
          <w:rFonts w:ascii="Times New Roman" w:hAnsi="Times New Roman" w:cs="Times New Roman"/>
          <w:sz w:val="24"/>
          <w:szCs w:val="24"/>
        </w:rPr>
        <w:t>persuasive legal authority or effect and are therefore, not binding on any court of law.</w:t>
      </w:r>
    </w:p>
    <w:p w:rsidR="00F925BF" w:rsidRDefault="00304678" w:rsidP="000F4082">
      <w:pPr>
        <w:rPr>
          <w:rFonts w:ascii="Times New Roman" w:hAnsi="Times New Roman" w:cs="Times New Roman"/>
          <w:sz w:val="24"/>
          <w:szCs w:val="24"/>
          <w:lang w:val="en-GB"/>
        </w:rPr>
      </w:pPr>
      <w:r w:rsidRPr="00CF2078">
        <w:rPr>
          <w:rFonts w:ascii="Times New Roman" w:hAnsi="Times New Roman" w:cs="Times New Roman"/>
          <w:sz w:val="24"/>
          <w:szCs w:val="24"/>
        </w:rPr>
        <w:t xml:space="preserve"> </w:t>
      </w:r>
      <w:r w:rsidR="000F4082">
        <w:rPr>
          <w:rFonts w:ascii="Times New Roman" w:hAnsi="Times New Roman" w:cs="Times New Roman"/>
          <w:sz w:val="24"/>
          <w:szCs w:val="24"/>
          <w:lang w:val="en-GB"/>
        </w:rPr>
        <w:t xml:space="preserve">   </w:t>
      </w:r>
      <w:r w:rsidR="00A235EC">
        <w:rPr>
          <w:rFonts w:ascii="Times New Roman" w:hAnsi="Times New Roman" w:cs="Times New Roman"/>
          <w:sz w:val="24"/>
          <w:szCs w:val="24"/>
          <w:lang w:val="en-GB"/>
        </w:rPr>
        <w:t xml:space="preserve"> </w:t>
      </w:r>
      <w:r w:rsidR="00DF4386">
        <w:rPr>
          <w:rFonts w:ascii="Times New Roman" w:hAnsi="Times New Roman" w:cs="Times New Roman"/>
          <w:sz w:val="24"/>
          <w:szCs w:val="24"/>
          <w:lang w:val="en-GB"/>
        </w:rPr>
        <w:t xml:space="preserve">        </w:t>
      </w:r>
      <w:r w:rsidRPr="00CF2078">
        <w:rPr>
          <w:rFonts w:ascii="Times New Roman" w:hAnsi="Times New Roman" w:cs="Times New Roman"/>
          <w:sz w:val="24"/>
          <w:szCs w:val="24"/>
        </w:rPr>
        <w:t xml:space="preserve">Secondary sources can be useful in court of law or resorted to where the court finds the opinion or fact underlying the authority contained therein. Secondary sources can also be referred to in court if it supports the authorities of the primary sources. Examples of secondary sources of Nigerian law according to Beredugo includes: </w:t>
      </w:r>
      <w:r w:rsidRPr="00CF2078">
        <w:rPr>
          <w:rFonts w:ascii="Times New Roman" w:hAnsi="Times New Roman" w:cs="Times New Roman"/>
          <w:sz w:val="24"/>
          <w:szCs w:val="24"/>
        </w:rPr>
        <w:t xml:space="preserve"> decisions of courts of foreign countries </w:t>
      </w:r>
      <w:r w:rsidRPr="00CF2078">
        <w:rPr>
          <w:rFonts w:ascii="Times New Roman" w:hAnsi="Times New Roman" w:cs="Times New Roman"/>
          <w:sz w:val="24"/>
          <w:szCs w:val="24"/>
        </w:rPr>
        <w:t xml:space="preserve"> International </w:t>
      </w:r>
      <w:r w:rsidR="00CF2078">
        <w:rPr>
          <w:rFonts w:ascii="Times New Roman" w:hAnsi="Times New Roman" w:cs="Times New Roman"/>
          <w:sz w:val="24"/>
          <w:szCs w:val="24"/>
        </w:rPr>
        <w:t>conventional</w:t>
      </w:r>
      <w:r w:rsidR="00CF2078">
        <w:rPr>
          <w:rFonts w:ascii="Times New Roman" w:hAnsi="Times New Roman" w:cs="Times New Roman"/>
          <w:sz w:val="24"/>
          <w:szCs w:val="24"/>
          <w:lang w:val="en-GB"/>
        </w:rPr>
        <w:t xml:space="preserve"> </w:t>
      </w:r>
      <w:r w:rsidRPr="00CF2078">
        <w:rPr>
          <w:rFonts w:ascii="Times New Roman" w:hAnsi="Times New Roman" w:cs="Times New Roman"/>
          <w:sz w:val="24"/>
          <w:szCs w:val="24"/>
        </w:rPr>
        <w:t>, treaties, and resolutions of international bodie</w:t>
      </w:r>
      <w:r w:rsidR="00CA43B3">
        <w:rPr>
          <w:rFonts w:ascii="Times New Roman" w:hAnsi="Times New Roman" w:cs="Times New Roman"/>
          <w:sz w:val="24"/>
          <w:szCs w:val="24"/>
          <w:lang w:val="en-GB"/>
        </w:rPr>
        <w:t>s</w:t>
      </w:r>
    </w:p>
    <w:p w:rsidR="00B65FAD" w:rsidRDefault="00F635CD" w:rsidP="000F4082">
      <w:pPr>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00B65FAD" w:rsidRPr="00B65FAD">
        <w:rPr>
          <w:rFonts w:ascii="Times New Roman" w:hAnsi="Times New Roman" w:cs="Times New Roman"/>
          <w:sz w:val="24"/>
          <w:szCs w:val="24"/>
          <w:lang w:val="en-GB"/>
        </w:rPr>
        <w:t xml:space="preserve">Secondary sources of law are background resources. They explain, interpret and </w:t>
      </w:r>
      <w:r w:rsidRPr="00B65FAD">
        <w:rPr>
          <w:rFonts w:ascii="Times New Roman" w:hAnsi="Times New Roman" w:cs="Times New Roman"/>
          <w:sz w:val="24"/>
          <w:szCs w:val="24"/>
          <w:lang w:val="en-GB"/>
        </w:rPr>
        <w:t>analyse</w:t>
      </w:r>
      <w:r w:rsidR="00A63414">
        <w:rPr>
          <w:rFonts w:ascii="Times New Roman" w:hAnsi="Times New Roman" w:cs="Times New Roman"/>
          <w:sz w:val="24"/>
          <w:szCs w:val="24"/>
          <w:lang w:val="en-GB"/>
        </w:rPr>
        <w:t>.</w:t>
      </w:r>
      <w:r w:rsidR="00B65FAD" w:rsidRPr="00B65FAD">
        <w:rPr>
          <w:rFonts w:ascii="Times New Roman" w:hAnsi="Times New Roman" w:cs="Times New Roman"/>
          <w:sz w:val="24"/>
          <w:szCs w:val="24"/>
          <w:lang w:val="en-GB"/>
        </w:rPr>
        <w:t xml:space="preserve">. They include </w:t>
      </w:r>
      <w:r w:rsidRPr="00B65FAD">
        <w:rPr>
          <w:rFonts w:ascii="Times New Roman" w:hAnsi="Times New Roman" w:cs="Times New Roman"/>
          <w:sz w:val="24"/>
          <w:szCs w:val="24"/>
          <w:lang w:val="en-GB"/>
        </w:rPr>
        <w:t>encyclopaedias</w:t>
      </w:r>
      <w:r w:rsidR="00B65FAD" w:rsidRPr="00B65FAD">
        <w:rPr>
          <w:rFonts w:ascii="Times New Roman" w:hAnsi="Times New Roman" w:cs="Times New Roman"/>
          <w:sz w:val="24"/>
          <w:szCs w:val="24"/>
          <w:lang w:val="en-GB"/>
        </w:rPr>
        <w:t>, law reviews, treatises, restatements. Secondary sources are a good way to start research and often have citations to primary sources.</w:t>
      </w:r>
    </w:p>
    <w:p w:rsidR="00197ACE" w:rsidRPr="00197ACE" w:rsidRDefault="00197ACE" w:rsidP="00197ACE">
      <w:pPr>
        <w:rPr>
          <w:rFonts w:ascii="Times New Roman" w:hAnsi="Times New Roman" w:cs="Times New Roman"/>
          <w:sz w:val="24"/>
          <w:szCs w:val="24"/>
          <w:lang w:val="en-GB"/>
        </w:rPr>
      </w:pPr>
      <w:r w:rsidRPr="00197ACE">
        <w:rPr>
          <w:rFonts w:ascii="Times New Roman" w:hAnsi="Times New Roman" w:cs="Times New Roman"/>
          <w:sz w:val="24"/>
          <w:szCs w:val="24"/>
          <w:lang w:val="en-GB"/>
        </w:rPr>
        <w:t>Examples of secondary sources of law are:</w:t>
      </w:r>
    </w:p>
    <w:p w:rsidR="00197ACE" w:rsidRPr="00197ACE" w:rsidRDefault="00197ACE" w:rsidP="00197ACE">
      <w:pPr>
        <w:rPr>
          <w:rFonts w:ascii="Times New Roman" w:hAnsi="Times New Roman" w:cs="Times New Roman"/>
          <w:sz w:val="24"/>
          <w:szCs w:val="24"/>
          <w:lang w:val="en-GB"/>
        </w:rPr>
      </w:pPr>
      <w:r w:rsidRPr="00197ACE">
        <w:rPr>
          <w:rFonts w:ascii="Times New Roman" w:hAnsi="Times New Roman" w:cs="Times New Roman"/>
          <w:sz w:val="24"/>
          <w:szCs w:val="24"/>
          <w:lang w:val="en-GB"/>
        </w:rPr>
        <w:t>Law Reports</w:t>
      </w:r>
    </w:p>
    <w:p w:rsidR="00197ACE" w:rsidRPr="00197ACE" w:rsidRDefault="00197ACE" w:rsidP="00197ACE">
      <w:pPr>
        <w:rPr>
          <w:rFonts w:ascii="Times New Roman" w:hAnsi="Times New Roman" w:cs="Times New Roman"/>
          <w:sz w:val="24"/>
          <w:szCs w:val="24"/>
          <w:lang w:val="en-GB"/>
        </w:rPr>
      </w:pPr>
      <w:r w:rsidRPr="00197ACE">
        <w:rPr>
          <w:rFonts w:ascii="Times New Roman" w:hAnsi="Times New Roman" w:cs="Times New Roman"/>
          <w:sz w:val="24"/>
          <w:szCs w:val="24"/>
          <w:lang w:val="en-GB"/>
        </w:rPr>
        <w:t>Text Books and Treatises</w:t>
      </w:r>
    </w:p>
    <w:p w:rsidR="00197ACE" w:rsidRPr="00197ACE" w:rsidRDefault="00197ACE" w:rsidP="00197ACE">
      <w:pPr>
        <w:rPr>
          <w:rFonts w:ascii="Times New Roman" w:hAnsi="Times New Roman" w:cs="Times New Roman"/>
          <w:sz w:val="24"/>
          <w:szCs w:val="24"/>
          <w:lang w:val="en-GB"/>
        </w:rPr>
      </w:pPr>
      <w:r w:rsidRPr="00197ACE">
        <w:rPr>
          <w:rFonts w:ascii="Times New Roman" w:hAnsi="Times New Roman" w:cs="Times New Roman"/>
          <w:sz w:val="24"/>
          <w:szCs w:val="24"/>
          <w:lang w:val="en-GB"/>
        </w:rPr>
        <w:t>Periodicals, Journals, and Legal Digests</w:t>
      </w:r>
    </w:p>
    <w:p w:rsidR="00197ACE" w:rsidRPr="00197ACE" w:rsidRDefault="00197ACE" w:rsidP="00197ACE">
      <w:pPr>
        <w:rPr>
          <w:rFonts w:ascii="Times New Roman" w:hAnsi="Times New Roman" w:cs="Times New Roman"/>
          <w:sz w:val="24"/>
          <w:szCs w:val="24"/>
          <w:lang w:val="en-GB"/>
        </w:rPr>
      </w:pPr>
      <w:r w:rsidRPr="00197ACE">
        <w:rPr>
          <w:rFonts w:ascii="Times New Roman" w:hAnsi="Times New Roman" w:cs="Times New Roman"/>
          <w:sz w:val="24"/>
          <w:szCs w:val="24"/>
          <w:lang w:val="en-GB"/>
        </w:rPr>
        <w:t>Casebooks</w:t>
      </w:r>
    </w:p>
    <w:p w:rsidR="00197ACE" w:rsidRPr="00197ACE" w:rsidRDefault="00197ACE" w:rsidP="00197ACE">
      <w:pPr>
        <w:rPr>
          <w:rFonts w:ascii="Times New Roman" w:hAnsi="Times New Roman" w:cs="Times New Roman"/>
          <w:sz w:val="24"/>
          <w:szCs w:val="24"/>
          <w:lang w:val="en-GB"/>
        </w:rPr>
      </w:pPr>
      <w:r w:rsidRPr="00197ACE">
        <w:rPr>
          <w:rFonts w:ascii="Times New Roman" w:hAnsi="Times New Roman" w:cs="Times New Roman"/>
          <w:sz w:val="24"/>
          <w:szCs w:val="24"/>
          <w:lang w:val="en-GB"/>
        </w:rPr>
        <w:t>Legal Dictionaries</w:t>
      </w:r>
    </w:p>
    <w:p w:rsidR="00A63414" w:rsidRDefault="00197ACE" w:rsidP="000F4082">
      <w:pPr>
        <w:rPr>
          <w:rFonts w:ascii="Times New Roman" w:hAnsi="Times New Roman" w:cs="Times New Roman"/>
          <w:sz w:val="24"/>
          <w:szCs w:val="24"/>
          <w:lang w:val="en-GB"/>
        </w:rPr>
      </w:pPr>
      <w:r w:rsidRPr="00197ACE">
        <w:rPr>
          <w:rFonts w:ascii="Times New Roman" w:hAnsi="Times New Roman" w:cs="Times New Roman"/>
          <w:sz w:val="24"/>
          <w:szCs w:val="24"/>
          <w:lang w:val="en-GB"/>
        </w:rPr>
        <w:t>Newspapers</w:t>
      </w:r>
    </w:p>
    <w:p w:rsidR="00A63414" w:rsidRPr="00A63414" w:rsidRDefault="00F635CD" w:rsidP="00A63414">
      <w:pPr>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00A63414" w:rsidRPr="00A63414">
        <w:rPr>
          <w:rFonts w:ascii="Times New Roman" w:hAnsi="Times New Roman" w:cs="Times New Roman"/>
          <w:sz w:val="24"/>
          <w:szCs w:val="24"/>
          <w:lang w:val="en-GB"/>
        </w:rPr>
        <w:t>The distinction between primary and secondary sources of law is very useful in determining authorities to follow in the law courts. If a case is brought before a court and one party uses a primary source of law as his authority while the other makes use of secondary sources, the scale of justice would tilt in favour of the person who presents primary sources of law.</w:t>
      </w:r>
    </w:p>
    <w:p w:rsidR="00A63414" w:rsidRPr="00CA43B3" w:rsidRDefault="00F635CD" w:rsidP="000F4082">
      <w:pPr>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00A63414" w:rsidRPr="00A63414">
        <w:rPr>
          <w:rFonts w:ascii="Times New Roman" w:hAnsi="Times New Roman" w:cs="Times New Roman"/>
          <w:sz w:val="24"/>
          <w:szCs w:val="24"/>
          <w:lang w:val="en-GB"/>
        </w:rPr>
        <w:t>Secondary sources of law are only made use of whenever there are no primary sources of law to fall back on.</w:t>
      </w:r>
    </w:p>
    <w:sectPr w:rsidR="00A63414" w:rsidRPr="00CA43B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2C24" w:rsidRDefault="00E82C24" w:rsidP="00F925BF">
      <w:r>
        <w:separator/>
      </w:r>
    </w:p>
  </w:endnote>
  <w:endnote w:type="continuationSeparator" w:id="0">
    <w:p w:rsidR="00E82C24" w:rsidRDefault="00E82C24" w:rsidP="00F925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2C24" w:rsidRDefault="00E82C24" w:rsidP="00F925BF">
      <w:r>
        <w:separator/>
      </w:r>
    </w:p>
  </w:footnote>
  <w:footnote w:type="continuationSeparator" w:id="0">
    <w:p w:rsidR="00E82C24" w:rsidRDefault="00E82C24" w:rsidP="00F925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5BF"/>
    <w:rsid w:val="000212EC"/>
    <w:rsid w:val="000F4082"/>
    <w:rsid w:val="00197ACE"/>
    <w:rsid w:val="001D7001"/>
    <w:rsid w:val="00304678"/>
    <w:rsid w:val="003D0BCB"/>
    <w:rsid w:val="003F6613"/>
    <w:rsid w:val="00447CA8"/>
    <w:rsid w:val="00693870"/>
    <w:rsid w:val="009077C3"/>
    <w:rsid w:val="009B3907"/>
    <w:rsid w:val="00A235EC"/>
    <w:rsid w:val="00A63414"/>
    <w:rsid w:val="00B30602"/>
    <w:rsid w:val="00B65FAD"/>
    <w:rsid w:val="00C27E52"/>
    <w:rsid w:val="00CA43B3"/>
    <w:rsid w:val="00CF2078"/>
    <w:rsid w:val="00DF4386"/>
    <w:rsid w:val="00E82C24"/>
    <w:rsid w:val="00EA4383"/>
    <w:rsid w:val="00F173D3"/>
    <w:rsid w:val="00F635CD"/>
    <w:rsid w:val="00F925BF"/>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672210BE"/>
  <w15:chartTrackingRefBased/>
  <w15:docId w15:val="{8514978A-2657-2542-B90C-5D6B0AAA6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25BF"/>
    <w:pPr>
      <w:tabs>
        <w:tab w:val="center" w:pos="4513"/>
        <w:tab w:val="right" w:pos="9026"/>
      </w:tabs>
    </w:pPr>
  </w:style>
  <w:style w:type="character" w:customStyle="1" w:styleId="HeaderChar">
    <w:name w:val="Header Char"/>
    <w:basedOn w:val="DefaultParagraphFont"/>
    <w:link w:val="Header"/>
    <w:uiPriority w:val="99"/>
    <w:rsid w:val="00F925BF"/>
  </w:style>
  <w:style w:type="paragraph" w:styleId="Footer">
    <w:name w:val="footer"/>
    <w:basedOn w:val="Normal"/>
    <w:link w:val="FooterChar"/>
    <w:uiPriority w:val="99"/>
    <w:unhideWhenUsed/>
    <w:rsid w:val="00F925BF"/>
    <w:pPr>
      <w:tabs>
        <w:tab w:val="center" w:pos="4513"/>
        <w:tab w:val="right" w:pos="9026"/>
      </w:tabs>
    </w:pPr>
  </w:style>
  <w:style w:type="character" w:customStyle="1" w:styleId="FooterChar">
    <w:name w:val="Footer Char"/>
    <w:basedOn w:val="DefaultParagraphFont"/>
    <w:link w:val="Footer"/>
    <w:uiPriority w:val="99"/>
    <w:rsid w:val="00F925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295</Words>
  <Characters>1683</Characters>
  <Application>Microsoft Office Word</Application>
  <DocSecurity>0</DocSecurity>
  <Lines>14</Lines>
  <Paragraphs>3</Paragraphs>
  <ScaleCrop>false</ScaleCrop>
  <Company/>
  <LinksUpToDate>false</LinksUpToDate>
  <CharactersWithSpaces>1975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Abraham Obaniwa</cp:lastModifiedBy>
  <cp:revision>3</cp:revision>
  <dcterms:created xsi:type="dcterms:W3CDTF">2020-05-08T10:48:00Z</dcterms:created>
  <dcterms:modified xsi:type="dcterms:W3CDTF">2020-05-08T10:52:00Z</dcterms:modified>
</cp:coreProperties>
</file>