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AF1" w:rsidRDefault="00695A65" w:rsidP="0029151A">
      <w:pPr>
        <w:spacing w:line="360" w:lineRule="auto"/>
        <w:jc w:val="both"/>
        <w:rPr>
          <w:rFonts w:ascii="Times New Roman" w:hAnsi="Times New Roman" w:cs="Times New Roman"/>
          <w:sz w:val="24"/>
          <w:szCs w:val="24"/>
        </w:rPr>
      </w:pPr>
      <w:r>
        <w:rPr>
          <w:rFonts w:ascii="Times New Roman" w:hAnsi="Times New Roman" w:cs="Times New Roman"/>
          <w:sz w:val="24"/>
          <w:szCs w:val="24"/>
        </w:rPr>
        <w:t>AYANLERE OLUWAPELUMI DEBORAH</w:t>
      </w:r>
    </w:p>
    <w:p w:rsidR="00695A65" w:rsidRDefault="00695A65" w:rsidP="0029151A">
      <w:pPr>
        <w:spacing w:line="360" w:lineRule="auto"/>
        <w:jc w:val="both"/>
        <w:rPr>
          <w:rFonts w:ascii="Times New Roman" w:hAnsi="Times New Roman" w:cs="Times New Roman"/>
          <w:sz w:val="24"/>
          <w:szCs w:val="24"/>
        </w:rPr>
      </w:pPr>
      <w:r>
        <w:rPr>
          <w:rFonts w:ascii="Times New Roman" w:hAnsi="Times New Roman" w:cs="Times New Roman"/>
          <w:sz w:val="24"/>
          <w:szCs w:val="24"/>
        </w:rPr>
        <w:t>18/LAW01/050</w:t>
      </w:r>
    </w:p>
    <w:p w:rsidR="00695A65" w:rsidRDefault="00695A65" w:rsidP="0029151A">
      <w:pPr>
        <w:spacing w:line="360" w:lineRule="auto"/>
        <w:jc w:val="both"/>
        <w:rPr>
          <w:rFonts w:ascii="Times New Roman" w:hAnsi="Times New Roman" w:cs="Times New Roman"/>
          <w:sz w:val="24"/>
          <w:szCs w:val="24"/>
        </w:rPr>
      </w:pPr>
      <w:r>
        <w:rPr>
          <w:rFonts w:ascii="Times New Roman" w:hAnsi="Times New Roman" w:cs="Times New Roman"/>
          <w:sz w:val="24"/>
          <w:szCs w:val="24"/>
        </w:rPr>
        <w:t>LABOUR LAW (LPB204)</w:t>
      </w:r>
    </w:p>
    <w:p w:rsidR="00695A65" w:rsidRPr="00695A65" w:rsidRDefault="00695A65" w:rsidP="0029151A">
      <w:pPr>
        <w:spacing w:line="360" w:lineRule="auto"/>
        <w:jc w:val="both"/>
        <w:rPr>
          <w:rFonts w:ascii="Times New Roman" w:hAnsi="Times New Roman" w:cs="Times New Roman"/>
          <w:sz w:val="24"/>
          <w:szCs w:val="24"/>
        </w:rPr>
      </w:pPr>
      <w:r w:rsidRPr="00695A65">
        <w:rPr>
          <w:rFonts w:ascii="Times New Roman" w:hAnsi="Times New Roman" w:cs="Times New Roman"/>
          <w:sz w:val="24"/>
          <w:szCs w:val="24"/>
        </w:rPr>
        <w:t>Question 1</w:t>
      </w:r>
    </w:p>
    <w:p w:rsidR="00695A65" w:rsidRPr="00695A65" w:rsidRDefault="00695A65" w:rsidP="0029151A">
      <w:pPr>
        <w:spacing w:line="360" w:lineRule="auto"/>
        <w:jc w:val="both"/>
        <w:rPr>
          <w:rFonts w:ascii="Times New Roman" w:hAnsi="Times New Roman" w:cs="Times New Roman"/>
          <w:sz w:val="24"/>
          <w:szCs w:val="24"/>
        </w:rPr>
      </w:pPr>
      <w:r w:rsidRPr="00695A65">
        <w:rPr>
          <w:rFonts w:ascii="Times New Roman" w:hAnsi="Times New Roman" w:cs="Times New Roman"/>
          <w:sz w:val="24"/>
          <w:szCs w:val="24"/>
        </w:rPr>
        <w:t>The National Association of Workers in Oil Industry of Nigeria (TUWOIN) had a collective agreement with the Association of Oil Companies of Nigeria (Ogunpa Oil Company is a member) in 2012 which provided inter alia that all workers shall be paid a security allowance in view of the rampant kidnapping of oil workers. Madam Aja, a member of TUWOIN and an employee of Ogunpa Oil Company, sued her employer on the basis of the collective agreement for not being paid this allowance. The matter is before Justice Adamu who is not clear as to whether she can sue on a collective agreement. He has asked you as his research assistant to write a legal opinion/advice on whether she can validly sue on it and to consider all the issues involved so that he can make a sound judgment.</w:t>
      </w:r>
    </w:p>
    <w:p w:rsidR="00695A65" w:rsidRPr="00695A65" w:rsidRDefault="00695A65" w:rsidP="0029151A">
      <w:pPr>
        <w:spacing w:line="360" w:lineRule="auto"/>
        <w:jc w:val="both"/>
        <w:rPr>
          <w:rFonts w:ascii="Times New Roman" w:hAnsi="Times New Roman" w:cs="Times New Roman"/>
          <w:sz w:val="24"/>
          <w:szCs w:val="24"/>
        </w:rPr>
      </w:pPr>
      <w:r w:rsidRPr="00695A65">
        <w:rPr>
          <w:rFonts w:ascii="Times New Roman" w:hAnsi="Times New Roman" w:cs="Times New Roman"/>
          <w:sz w:val="24"/>
          <w:szCs w:val="24"/>
        </w:rPr>
        <w:t>Question 2.</w:t>
      </w:r>
    </w:p>
    <w:p w:rsidR="00695A65" w:rsidRPr="00695A65" w:rsidRDefault="00695A65" w:rsidP="0029151A">
      <w:pPr>
        <w:spacing w:line="360" w:lineRule="auto"/>
        <w:jc w:val="both"/>
        <w:rPr>
          <w:rFonts w:ascii="Times New Roman" w:hAnsi="Times New Roman" w:cs="Times New Roman"/>
          <w:sz w:val="24"/>
          <w:szCs w:val="24"/>
        </w:rPr>
      </w:pPr>
      <w:r w:rsidRPr="00695A65">
        <w:rPr>
          <w:rFonts w:ascii="Times New Roman" w:hAnsi="Times New Roman" w:cs="Times New Roman"/>
          <w:sz w:val="24"/>
          <w:szCs w:val="24"/>
        </w:rPr>
        <w:t xml:space="preserve">On the 5th of January 2020, </w:t>
      </w:r>
      <w:r w:rsidR="0029151A" w:rsidRPr="00695A65">
        <w:rPr>
          <w:rFonts w:ascii="Times New Roman" w:hAnsi="Times New Roman" w:cs="Times New Roman"/>
          <w:sz w:val="24"/>
          <w:szCs w:val="24"/>
        </w:rPr>
        <w:t>Mr.</w:t>
      </w:r>
      <w:r w:rsidRPr="00695A65">
        <w:rPr>
          <w:rFonts w:ascii="Times New Roman" w:hAnsi="Times New Roman" w:cs="Times New Roman"/>
          <w:sz w:val="24"/>
          <w:szCs w:val="24"/>
        </w:rPr>
        <w:t xml:space="preserve"> Olabanjo drove into Esso Petroleum to fill his car tank. Ade one of the attendants at the fuel station beckoned to </w:t>
      </w:r>
      <w:r w:rsidR="0029151A" w:rsidRPr="00695A65">
        <w:rPr>
          <w:rFonts w:ascii="Times New Roman" w:hAnsi="Times New Roman" w:cs="Times New Roman"/>
          <w:sz w:val="24"/>
          <w:szCs w:val="24"/>
        </w:rPr>
        <w:t>Mr.</w:t>
      </w:r>
      <w:r w:rsidRPr="00695A65">
        <w:rPr>
          <w:rFonts w:ascii="Times New Roman" w:hAnsi="Times New Roman" w:cs="Times New Roman"/>
          <w:sz w:val="24"/>
          <w:szCs w:val="24"/>
        </w:rPr>
        <w:t xml:space="preserve"> Olabanjo to come to his own pump to buy fuel. </w:t>
      </w:r>
      <w:r w:rsidR="0029151A" w:rsidRPr="00695A65">
        <w:rPr>
          <w:rFonts w:ascii="Times New Roman" w:hAnsi="Times New Roman" w:cs="Times New Roman"/>
          <w:sz w:val="24"/>
          <w:szCs w:val="24"/>
        </w:rPr>
        <w:t>Mr.</w:t>
      </w:r>
      <w:r w:rsidRPr="00695A65">
        <w:rPr>
          <w:rFonts w:ascii="Times New Roman" w:hAnsi="Times New Roman" w:cs="Times New Roman"/>
          <w:sz w:val="24"/>
          <w:szCs w:val="24"/>
        </w:rPr>
        <w:t xml:space="preserve"> Olabanjo refused and stayed at the other pump, but his car was blocking other cars from going to Ade’s pump. Ade tried to signal to him to move his car but he refused, Ade insulted and made a hand </w:t>
      </w:r>
      <w:r w:rsidR="0029151A" w:rsidRPr="00695A65">
        <w:rPr>
          <w:rFonts w:ascii="Times New Roman" w:hAnsi="Times New Roman" w:cs="Times New Roman"/>
          <w:sz w:val="24"/>
          <w:szCs w:val="24"/>
        </w:rPr>
        <w:t>gesture that</w:t>
      </w:r>
      <w:r w:rsidRPr="00695A65">
        <w:rPr>
          <w:rFonts w:ascii="Times New Roman" w:hAnsi="Times New Roman" w:cs="Times New Roman"/>
          <w:sz w:val="24"/>
          <w:szCs w:val="24"/>
        </w:rPr>
        <w:t xml:space="preserve"> was interpreted to mean </w:t>
      </w:r>
      <w:r w:rsidR="0029151A" w:rsidRPr="00695A65">
        <w:rPr>
          <w:rFonts w:ascii="Times New Roman" w:hAnsi="Times New Roman" w:cs="Times New Roman"/>
          <w:sz w:val="24"/>
          <w:szCs w:val="24"/>
        </w:rPr>
        <w:t>Mr.</w:t>
      </w:r>
      <w:r w:rsidRPr="00695A65">
        <w:rPr>
          <w:rFonts w:ascii="Times New Roman" w:hAnsi="Times New Roman" w:cs="Times New Roman"/>
          <w:sz w:val="24"/>
          <w:szCs w:val="24"/>
        </w:rPr>
        <w:t xml:space="preserve"> Olabanjo was crazy. This resulted in a fight, Ade injured </w:t>
      </w:r>
      <w:r w:rsidR="0029151A" w:rsidRPr="00695A65">
        <w:rPr>
          <w:rFonts w:ascii="Times New Roman" w:hAnsi="Times New Roman" w:cs="Times New Roman"/>
          <w:sz w:val="24"/>
          <w:szCs w:val="24"/>
        </w:rPr>
        <w:t>Mr.</w:t>
      </w:r>
      <w:r w:rsidR="0029151A">
        <w:rPr>
          <w:rFonts w:ascii="Times New Roman" w:hAnsi="Times New Roman" w:cs="Times New Roman"/>
          <w:sz w:val="24"/>
          <w:szCs w:val="24"/>
        </w:rPr>
        <w:t xml:space="preserve"> Olabanjo’s</w:t>
      </w:r>
      <w:r w:rsidRPr="00695A65">
        <w:rPr>
          <w:rFonts w:ascii="Times New Roman" w:hAnsi="Times New Roman" w:cs="Times New Roman"/>
          <w:sz w:val="24"/>
          <w:szCs w:val="24"/>
        </w:rPr>
        <w:t xml:space="preserve"> left eye, to a point where blood was gushing out. Mr Olabanjo lost his left eye. On the same day, Esso petroleum had a retirement party for one of its directors and all employees were invited. Eunice the attendant who was at the pump where Mr Olabanjo wanted to buy fuel was on the dance floor dancing, when Ade tried to lift her up, in the process she fell and had a serious sprain on her leg. She was in the hospital for 5 months.</w:t>
      </w:r>
    </w:p>
    <w:p w:rsidR="00695A65" w:rsidRPr="00695A65" w:rsidRDefault="00695A65" w:rsidP="0029151A">
      <w:pPr>
        <w:spacing w:line="360" w:lineRule="auto"/>
        <w:jc w:val="both"/>
        <w:rPr>
          <w:rFonts w:ascii="Times New Roman" w:hAnsi="Times New Roman" w:cs="Times New Roman"/>
          <w:sz w:val="24"/>
          <w:szCs w:val="24"/>
        </w:rPr>
      </w:pPr>
      <w:r w:rsidRPr="00695A65">
        <w:rPr>
          <w:rFonts w:ascii="Times New Roman" w:hAnsi="Times New Roman" w:cs="Times New Roman"/>
          <w:sz w:val="24"/>
          <w:szCs w:val="24"/>
        </w:rPr>
        <w:t>Mr Olabanjo wants to bring an action against Esso petroleum and Ade, Eunice also wants to know if she can bring an action against Ade and Esso Petroleum.</w:t>
      </w:r>
    </w:p>
    <w:p w:rsidR="00695A65" w:rsidRDefault="00695A65" w:rsidP="0029151A">
      <w:pPr>
        <w:spacing w:line="360" w:lineRule="auto"/>
        <w:jc w:val="both"/>
        <w:rPr>
          <w:rFonts w:ascii="Times New Roman" w:hAnsi="Times New Roman" w:cs="Times New Roman"/>
          <w:sz w:val="24"/>
          <w:szCs w:val="24"/>
        </w:rPr>
      </w:pPr>
      <w:r w:rsidRPr="00695A65">
        <w:rPr>
          <w:rFonts w:ascii="Times New Roman" w:hAnsi="Times New Roman" w:cs="Times New Roman"/>
          <w:sz w:val="24"/>
          <w:szCs w:val="24"/>
        </w:rPr>
        <w:t>Advise, Mr Olabanjo, Eunice and Esso Petroleum.</w:t>
      </w:r>
    </w:p>
    <w:p w:rsidR="00DE72EB" w:rsidRPr="00DE72EB" w:rsidRDefault="00DE72EB" w:rsidP="0029151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w:t>
      </w:r>
      <w:r w:rsidRPr="00DE72EB">
        <w:rPr>
          <w:rFonts w:ascii="Times New Roman" w:hAnsi="Times New Roman" w:cs="Times New Roman"/>
          <w:sz w:val="24"/>
          <w:szCs w:val="24"/>
        </w:rPr>
        <w:t>ollective agreement'' means an agreement in writing regarding working conditions and terms of employment concluded between</w:t>
      </w:r>
    </w:p>
    <w:p w:rsidR="00DE72EB" w:rsidRPr="00DE72EB" w:rsidRDefault="00DE72EB" w:rsidP="0029151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 An organiz</w:t>
      </w:r>
      <w:r w:rsidRPr="00DE72EB">
        <w:rPr>
          <w:rFonts w:ascii="Times New Roman" w:hAnsi="Times New Roman" w:cs="Times New Roman"/>
          <w:sz w:val="24"/>
          <w:szCs w:val="24"/>
        </w:rPr>
        <w:t xml:space="preserve">ation of workers or an </w:t>
      </w:r>
      <w:r w:rsidRPr="00DE72EB">
        <w:rPr>
          <w:rFonts w:ascii="Times New Roman" w:hAnsi="Times New Roman" w:cs="Times New Roman"/>
          <w:sz w:val="24"/>
          <w:szCs w:val="24"/>
        </w:rPr>
        <w:t>organization</w:t>
      </w:r>
      <w:r w:rsidRPr="00DE72EB">
        <w:rPr>
          <w:rFonts w:ascii="Times New Roman" w:hAnsi="Times New Roman" w:cs="Times New Roman"/>
          <w:sz w:val="24"/>
          <w:szCs w:val="24"/>
        </w:rPr>
        <w:t xml:space="preserve"> representing workers (or an association of such </w:t>
      </w:r>
      <w:r w:rsidRPr="00DE72EB">
        <w:rPr>
          <w:rFonts w:ascii="Times New Roman" w:hAnsi="Times New Roman" w:cs="Times New Roman"/>
          <w:sz w:val="24"/>
          <w:szCs w:val="24"/>
        </w:rPr>
        <w:t>organizations</w:t>
      </w:r>
      <w:r w:rsidRPr="00DE72EB">
        <w:rPr>
          <w:rFonts w:ascii="Times New Roman" w:hAnsi="Times New Roman" w:cs="Times New Roman"/>
          <w:sz w:val="24"/>
          <w:szCs w:val="24"/>
        </w:rPr>
        <w:t xml:space="preserve">) of the one part; and </w:t>
      </w:r>
    </w:p>
    <w:p w:rsidR="00DE72EB" w:rsidRDefault="00DE72EB" w:rsidP="0029151A">
      <w:pPr>
        <w:pStyle w:val="ListParagraph"/>
        <w:spacing w:line="360" w:lineRule="auto"/>
        <w:jc w:val="both"/>
        <w:rPr>
          <w:rFonts w:ascii="Times New Roman" w:hAnsi="Times New Roman" w:cs="Times New Roman"/>
          <w:sz w:val="24"/>
          <w:szCs w:val="24"/>
        </w:rPr>
      </w:pPr>
      <w:r w:rsidRPr="00DE72EB">
        <w:rPr>
          <w:rFonts w:ascii="Times New Roman" w:hAnsi="Times New Roman" w:cs="Times New Roman"/>
          <w:sz w:val="24"/>
          <w:szCs w:val="24"/>
        </w:rPr>
        <w:t xml:space="preserve">(b) </w:t>
      </w:r>
      <w:r>
        <w:rPr>
          <w:rFonts w:ascii="Times New Roman" w:hAnsi="Times New Roman" w:cs="Times New Roman"/>
          <w:sz w:val="24"/>
          <w:szCs w:val="24"/>
        </w:rPr>
        <w:t xml:space="preserve">An </w:t>
      </w:r>
      <w:r w:rsidRPr="00DE72EB">
        <w:rPr>
          <w:rFonts w:ascii="Times New Roman" w:hAnsi="Times New Roman" w:cs="Times New Roman"/>
          <w:sz w:val="24"/>
          <w:szCs w:val="24"/>
        </w:rPr>
        <w:t>organization</w:t>
      </w:r>
      <w:r w:rsidRPr="00DE72EB">
        <w:rPr>
          <w:rFonts w:ascii="Times New Roman" w:hAnsi="Times New Roman" w:cs="Times New Roman"/>
          <w:sz w:val="24"/>
          <w:szCs w:val="24"/>
        </w:rPr>
        <w:t xml:space="preserve"> of employers or an </w:t>
      </w:r>
      <w:r w:rsidRPr="00DE72EB">
        <w:rPr>
          <w:rFonts w:ascii="Times New Roman" w:hAnsi="Times New Roman" w:cs="Times New Roman"/>
          <w:sz w:val="24"/>
          <w:szCs w:val="24"/>
        </w:rPr>
        <w:t>organization</w:t>
      </w:r>
      <w:r w:rsidRPr="00DE72EB">
        <w:rPr>
          <w:rFonts w:ascii="Times New Roman" w:hAnsi="Times New Roman" w:cs="Times New Roman"/>
          <w:sz w:val="24"/>
          <w:szCs w:val="24"/>
        </w:rPr>
        <w:t xml:space="preserve"> representing employers (or an association of such </w:t>
      </w:r>
      <w:r w:rsidRPr="00DE72EB">
        <w:rPr>
          <w:rFonts w:ascii="Times New Roman" w:hAnsi="Times New Roman" w:cs="Times New Roman"/>
          <w:sz w:val="24"/>
          <w:szCs w:val="24"/>
        </w:rPr>
        <w:t>organizations</w:t>
      </w:r>
      <w:r w:rsidRPr="00DE72EB">
        <w:rPr>
          <w:rFonts w:ascii="Times New Roman" w:hAnsi="Times New Roman" w:cs="Times New Roman"/>
          <w:sz w:val="24"/>
          <w:szCs w:val="24"/>
        </w:rPr>
        <w:t>) of the other part;</w:t>
      </w:r>
      <w:r>
        <w:rPr>
          <w:rFonts w:ascii="Times New Roman" w:hAnsi="Times New Roman" w:cs="Times New Roman"/>
          <w:sz w:val="24"/>
          <w:szCs w:val="24"/>
        </w:rPr>
        <w:t xml:space="preserve"> (</w:t>
      </w:r>
      <w:r>
        <w:rPr>
          <w:rFonts w:ascii="Times New Roman" w:hAnsi="Times New Roman" w:cs="Times New Roman"/>
          <w:i/>
          <w:sz w:val="24"/>
          <w:szCs w:val="24"/>
        </w:rPr>
        <w:t>Section 91 of the Labour Act</w:t>
      </w:r>
      <w:r>
        <w:rPr>
          <w:rFonts w:ascii="Times New Roman" w:hAnsi="Times New Roman" w:cs="Times New Roman"/>
          <w:sz w:val="24"/>
          <w:szCs w:val="24"/>
        </w:rPr>
        <w:t>)</w:t>
      </w:r>
      <w:r w:rsidR="00A54D24">
        <w:rPr>
          <w:rStyle w:val="FootnoteReference"/>
          <w:rFonts w:ascii="Times New Roman" w:hAnsi="Times New Roman" w:cs="Times New Roman"/>
          <w:sz w:val="24"/>
          <w:szCs w:val="24"/>
        </w:rPr>
        <w:footnoteReference w:id="1"/>
      </w:r>
    </w:p>
    <w:p w:rsidR="00DE72EB" w:rsidRDefault="00DE72EB" w:rsidP="00A54D2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Pr="00DE72EB">
        <w:rPr>
          <w:rFonts w:ascii="Times New Roman" w:hAnsi="Times New Roman" w:cs="Times New Roman"/>
          <w:sz w:val="24"/>
          <w:szCs w:val="24"/>
        </w:rPr>
        <w:t>ollective agreement" means any ag</w:t>
      </w:r>
      <w:r>
        <w:rPr>
          <w:rFonts w:ascii="Times New Roman" w:hAnsi="Times New Roman" w:cs="Times New Roman"/>
          <w:sz w:val="24"/>
          <w:szCs w:val="24"/>
        </w:rPr>
        <w:t>reement in writing for the settlement</w:t>
      </w:r>
      <w:r w:rsidRPr="00DE72EB">
        <w:rPr>
          <w:rFonts w:ascii="Times New Roman" w:hAnsi="Times New Roman" w:cs="Times New Roman"/>
          <w:sz w:val="24"/>
          <w:szCs w:val="24"/>
        </w:rPr>
        <w:t xml:space="preserve"> of disputes and relating to terms of employment and physical conditions of work </w:t>
      </w:r>
      <w:r w:rsidR="006C07BF" w:rsidRPr="00DE72EB">
        <w:rPr>
          <w:rFonts w:ascii="Times New Roman" w:hAnsi="Times New Roman" w:cs="Times New Roman"/>
          <w:sz w:val="24"/>
          <w:szCs w:val="24"/>
        </w:rPr>
        <w:t>concluded between</w:t>
      </w:r>
      <w:r w:rsidRPr="00DE72EB">
        <w:rPr>
          <w:rFonts w:ascii="Times New Roman" w:hAnsi="Times New Roman" w:cs="Times New Roman"/>
          <w:sz w:val="24"/>
          <w:szCs w:val="24"/>
        </w:rPr>
        <w:t xml:space="preserve">-   (a)  an employer, a group of employers or </w:t>
      </w:r>
      <w:r w:rsidR="006C07BF" w:rsidRPr="00DE72EB">
        <w:rPr>
          <w:rFonts w:ascii="Times New Roman" w:hAnsi="Times New Roman" w:cs="Times New Roman"/>
          <w:sz w:val="24"/>
          <w:szCs w:val="24"/>
        </w:rPr>
        <w:t>organizations</w:t>
      </w:r>
      <w:r w:rsidRPr="00DE72EB">
        <w:rPr>
          <w:rFonts w:ascii="Times New Roman" w:hAnsi="Times New Roman" w:cs="Times New Roman"/>
          <w:sz w:val="24"/>
          <w:szCs w:val="24"/>
        </w:rPr>
        <w:t xml:space="preserve"> representing workers, or  the duly appointed representative of any body of workers, on the one hand; and   (b)  one or more trade unions or </w:t>
      </w:r>
      <w:r w:rsidR="006C07BF" w:rsidRPr="00DE72EB">
        <w:rPr>
          <w:rFonts w:ascii="Times New Roman" w:hAnsi="Times New Roman" w:cs="Times New Roman"/>
          <w:sz w:val="24"/>
          <w:szCs w:val="24"/>
        </w:rPr>
        <w:t>organizations</w:t>
      </w:r>
      <w:r w:rsidRPr="00DE72EB">
        <w:rPr>
          <w:rFonts w:ascii="Times New Roman" w:hAnsi="Times New Roman" w:cs="Times New Roman"/>
          <w:sz w:val="24"/>
          <w:szCs w:val="24"/>
        </w:rPr>
        <w:t xml:space="preserve"> representing workers, or the duly  appointed representative of any body of workers, on the other hand;  </w:t>
      </w:r>
      <w:r w:rsidR="006C07BF">
        <w:rPr>
          <w:rFonts w:ascii="Times New Roman" w:hAnsi="Times New Roman" w:cs="Times New Roman"/>
          <w:sz w:val="24"/>
          <w:szCs w:val="24"/>
        </w:rPr>
        <w:t>(</w:t>
      </w:r>
      <w:r w:rsidR="006C07BF">
        <w:rPr>
          <w:rFonts w:ascii="Times New Roman" w:hAnsi="Times New Roman" w:cs="Times New Roman"/>
          <w:i/>
          <w:sz w:val="24"/>
          <w:szCs w:val="24"/>
        </w:rPr>
        <w:t>Section 48 of the Trade Disputes Act</w:t>
      </w:r>
      <w:r w:rsidR="006C07BF">
        <w:rPr>
          <w:rFonts w:ascii="Times New Roman" w:hAnsi="Times New Roman" w:cs="Times New Roman"/>
          <w:sz w:val="24"/>
          <w:szCs w:val="24"/>
        </w:rPr>
        <w:t>)</w:t>
      </w:r>
      <w:r w:rsidR="00A54D24">
        <w:rPr>
          <w:rStyle w:val="FootnoteReference"/>
          <w:rFonts w:ascii="Times New Roman" w:hAnsi="Times New Roman" w:cs="Times New Roman"/>
          <w:sz w:val="24"/>
          <w:szCs w:val="24"/>
        </w:rPr>
        <w:footnoteReference w:id="2"/>
      </w:r>
    </w:p>
    <w:p w:rsidR="00FE7B22" w:rsidRDefault="00FE7B22" w:rsidP="0029151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collective agreement can be enforced through </w:t>
      </w:r>
      <w:r w:rsidR="006773C1">
        <w:rPr>
          <w:rStyle w:val="EndnoteReference"/>
          <w:rFonts w:ascii="Times New Roman" w:hAnsi="Times New Roman" w:cs="Times New Roman"/>
          <w:sz w:val="24"/>
          <w:szCs w:val="24"/>
        </w:rPr>
        <w:endnoteReference w:id="1"/>
      </w:r>
    </w:p>
    <w:p w:rsidR="006C07BF" w:rsidRDefault="00FE7B22" w:rsidP="00FE7B2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Statutes:</w:t>
      </w:r>
      <w:r>
        <w:rPr>
          <w:rFonts w:ascii="Times New Roman" w:hAnsi="Times New Roman" w:cs="Times New Roman"/>
          <w:i/>
          <w:sz w:val="24"/>
          <w:szCs w:val="24"/>
        </w:rPr>
        <w:t xml:space="preserve"> (Section 3(3) of the Trade Disputes Act</w:t>
      </w:r>
      <w:r w:rsidR="00A54D24">
        <w:rPr>
          <w:rFonts w:ascii="Times New Roman" w:hAnsi="Times New Roman" w:cs="Times New Roman"/>
          <w:i/>
          <w:sz w:val="24"/>
          <w:szCs w:val="24"/>
          <w:vertAlign w:val="superscript"/>
        </w:rPr>
        <w:t xml:space="preserve">2 </w:t>
      </w:r>
      <w:r w:rsidR="006773C1">
        <w:rPr>
          <w:rFonts w:ascii="Times New Roman" w:hAnsi="Times New Roman" w:cs="Times New Roman"/>
          <w:sz w:val="24"/>
          <w:szCs w:val="24"/>
        </w:rPr>
        <w:t>(</w:t>
      </w:r>
      <w:r w:rsidRPr="00FE7B22">
        <w:rPr>
          <w:rFonts w:ascii="Times New Roman" w:hAnsi="Times New Roman" w:cs="Times New Roman"/>
          <w:sz w:val="24"/>
          <w:szCs w:val="24"/>
        </w:rPr>
        <w:t>3) Subject to the provisions of this Act, the Minister m</w:t>
      </w:r>
      <w:r>
        <w:rPr>
          <w:rFonts w:ascii="Times New Roman" w:hAnsi="Times New Roman" w:cs="Times New Roman"/>
          <w:sz w:val="24"/>
          <w:szCs w:val="24"/>
        </w:rPr>
        <w:t>ay, upon receipt of copies of a</w:t>
      </w:r>
      <w:r w:rsidRPr="00FE7B22">
        <w:rPr>
          <w:rFonts w:ascii="Times New Roman" w:hAnsi="Times New Roman" w:cs="Times New Roman"/>
          <w:sz w:val="24"/>
          <w:szCs w:val="24"/>
        </w:rPr>
        <w:t xml:space="preserve"> collective agreement deposited in accordance with subsection (1) of this section, make </w:t>
      </w:r>
      <w:r w:rsidR="006773C1" w:rsidRPr="00FE7B22">
        <w:rPr>
          <w:rFonts w:ascii="Times New Roman" w:hAnsi="Times New Roman" w:cs="Times New Roman"/>
          <w:sz w:val="24"/>
          <w:szCs w:val="24"/>
        </w:rPr>
        <w:t>an order</w:t>
      </w:r>
      <w:r w:rsidRPr="00FE7B22">
        <w:rPr>
          <w:rFonts w:ascii="Times New Roman" w:hAnsi="Times New Roman" w:cs="Times New Roman"/>
          <w:sz w:val="24"/>
          <w:szCs w:val="24"/>
        </w:rPr>
        <w:t>, the terms of which may in respect of that agreement specify that the provisions of  the agreement or any part thereof as may be stated in the order shall, be binding on the  employers and workers to whom they relate</w:t>
      </w:r>
      <w:r>
        <w:rPr>
          <w:rFonts w:ascii="Times New Roman" w:hAnsi="Times New Roman" w:cs="Times New Roman"/>
          <w:sz w:val="24"/>
          <w:szCs w:val="24"/>
        </w:rPr>
        <w:t>.</w:t>
      </w:r>
    </w:p>
    <w:p w:rsidR="006773C1" w:rsidRPr="006773C1" w:rsidRDefault="00FE7B22" w:rsidP="006773C1">
      <w:pPr>
        <w:pStyle w:val="ListParagraph"/>
        <w:numPr>
          <w:ilvl w:val="0"/>
          <w:numId w:val="3"/>
        </w:numPr>
        <w:spacing w:line="360" w:lineRule="auto"/>
        <w:jc w:val="both"/>
        <w:rPr>
          <w:rFonts w:ascii="Times New Roman" w:hAnsi="Times New Roman" w:cs="Times New Roman"/>
          <w:sz w:val="24"/>
          <w:szCs w:val="24"/>
        </w:rPr>
      </w:pPr>
      <w:r w:rsidRPr="006773C1">
        <w:rPr>
          <w:rFonts w:ascii="Times New Roman" w:hAnsi="Times New Roman" w:cs="Times New Roman"/>
          <w:sz w:val="24"/>
          <w:szCs w:val="24"/>
        </w:rPr>
        <w:t xml:space="preserve">Exercise of the Exclusive jurisdiction of the National Industrial Court  </w:t>
      </w:r>
      <w:r w:rsidR="006773C1" w:rsidRPr="006773C1">
        <w:rPr>
          <w:rFonts w:ascii="Times New Roman" w:hAnsi="Times New Roman" w:cs="Times New Roman"/>
          <w:i/>
          <w:sz w:val="24"/>
          <w:szCs w:val="24"/>
        </w:rPr>
        <w:t>S</w:t>
      </w:r>
      <w:r w:rsidRPr="006773C1">
        <w:rPr>
          <w:rFonts w:ascii="Times New Roman" w:hAnsi="Times New Roman" w:cs="Times New Roman"/>
          <w:i/>
          <w:sz w:val="24"/>
          <w:szCs w:val="24"/>
        </w:rPr>
        <w:t>ection 7(1)(c) of the National Industrial Court Act</w:t>
      </w:r>
      <w:r w:rsidR="00A54D24">
        <w:rPr>
          <w:rStyle w:val="FootnoteReference"/>
          <w:rFonts w:ascii="Times New Roman" w:hAnsi="Times New Roman" w:cs="Times New Roman"/>
          <w:i/>
          <w:sz w:val="24"/>
          <w:szCs w:val="24"/>
        </w:rPr>
        <w:footnoteReference w:id="3"/>
      </w:r>
      <w:r w:rsidR="006773C1" w:rsidRPr="006773C1">
        <w:rPr>
          <w:rFonts w:ascii="Times New Roman" w:hAnsi="Times New Roman" w:cs="Times New Roman"/>
          <w:i/>
          <w:sz w:val="24"/>
          <w:szCs w:val="24"/>
        </w:rPr>
        <w:t xml:space="preserve">, Section 234(c) of the 1999 Constitution of </w:t>
      </w:r>
      <w:r w:rsidR="006773C1">
        <w:rPr>
          <w:rFonts w:ascii="Times New Roman" w:hAnsi="Times New Roman" w:cs="Times New Roman"/>
          <w:i/>
          <w:sz w:val="24"/>
          <w:szCs w:val="24"/>
        </w:rPr>
        <w:t>the Federal Republic of Nigeria(as amended) Third Alteration Act 2010</w:t>
      </w:r>
      <w:r w:rsidR="00A54D24">
        <w:rPr>
          <w:rStyle w:val="FootnoteReference"/>
          <w:rFonts w:ascii="Times New Roman" w:hAnsi="Times New Roman" w:cs="Times New Roman"/>
          <w:i/>
          <w:sz w:val="24"/>
          <w:szCs w:val="24"/>
        </w:rPr>
        <w:footnoteReference w:id="4"/>
      </w:r>
    </w:p>
    <w:p w:rsidR="006773C1" w:rsidRDefault="006773C1" w:rsidP="006773C1">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i/>
          <w:sz w:val="24"/>
          <w:szCs w:val="24"/>
        </w:rPr>
        <w:t>Union Bank of Nigeria v. Edet</w:t>
      </w:r>
    </w:p>
    <w:p w:rsidR="006773C1" w:rsidRPr="00F22EF0" w:rsidRDefault="006773C1" w:rsidP="00F22EF0">
      <w:pPr>
        <w:tabs>
          <w:tab w:val="left" w:pos="6750"/>
        </w:tabs>
        <w:spacing w:line="360" w:lineRule="auto"/>
        <w:ind w:left="360"/>
        <w:jc w:val="both"/>
        <w:rPr>
          <w:rFonts w:ascii="Times New Roman" w:hAnsi="Times New Roman" w:cs="Times New Roman"/>
          <w:i/>
          <w:sz w:val="24"/>
          <w:szCs w:val="24"/>
        </w:rPr>
      </w:pPr>
      <w:r w:rsidRPr="006773C1">
        <w:rPr>
          <w:rFonts w:ascii="Times New Roman" w:hAnsi="Times New Roman" w:cs="Times New Roman"/>
          <w:sz w:val="24"/>
          <w:szCs w:val="24"/>
        </w:rPr>
        <w:t xml:space="preserve">In this case, Madam Aja who is a member of a trade union and an employee of an oil company wants to sue her employer for defaulting in his performance of </w:t>
      </w:r>
      <w:r w:rsidR="00F22EF0">
        <w:rPr>
          <w:rFonts w:ascii="Times New Roman" w:hAnsi="Times New Roman" w:cs="Times New Roman"/>
          <w:sz w:val="24"/>
          <w:szCs w:val="24"/>
        </w:rPr>
        <w:t xml:space="preserve">his part of his agreement with the trade union (TUWOIN). The company came into an agreement with </w:t>
      </w:r>
      <w:r w:rsidR="00F22EF0">
        <w:rPr>
          <w:rFonts w:ascii="Times New Roman" w:hAnsi="Times New Roman" w:cs="Times New Roman"/>
          <w:sz w:val="24"/>
          <w:szCs w:val="24"/>
        </w:rPr>
        <w:lastRenderedPageBreak/>
        <w:t xml:space="preserve">TUWOIN that they would pay a security allowance. This was not received by Madam Aja. She can however not sue her employer for this cause, this is because as seen in the case of </w:t>
      </w:r>
      <w:r w:rsidR="00F22EF0" w:rsidRPr="00F22EF0">
        <w:rPr>
          <w:rFonts w:ascii="Times New Roman" w:hAnsi="Times New Roman" w:cs="Times New Roman"/>
          <w:i/>
          <w:sz w:val="24"/>
          <w:szCs w:val="24"/>
        </w:rPr>
        <w:t>U.B.N v. Edet,</w:t>
      </w:r>
      <w:r w:rsidR="00F22EF0">
        <w:rPr>
          <w:rFonts w:ascii="Times New Roman" w:hAnsi="Times New Roman" w:cs="Times New Roman"/>
          <w:sz w:val="24"/>
          <w:szCs w:val="24"/>
        </w:rPr>
        <w:t xml:space="preserve"> “As said by the Supreme Court </w:t>
      </w:r>
      <w:r w:rsidR="00F22EF0" w:rsidRPr="00F22EF0">
        <w:rPr>
          <w:rFonts w:ascii="Times New Roman" w:hAnsi="Times New Roman" w:cs="Times New Roman"/>
          <w:sz w:val="24"/>
          <w:szCs w:val="24"/>
        </w:rPr>
        <w:t>in</w:t>
      </w:r>
      <w:r w:rsidR="00F22EF0" w:rsidRPr="00F22EF0">
        <w:rPr>
          <w:rFonts w:ascii="Times New Roman" w:hAnsi="Times New Roman" w:cs="Times New Roman"/>
          <w:i/>
          <w:sz w:val="24"/>
          <w:szCs w:val="24"/>
        </w:rPr>
        <w:t xml:space="preserve"> Ikeazu v. African Continental Bank Limited:</w:t>
      </w:r>
    </w:p>
    <w:p w:rsidR="00F22EF0" w:rsidRDefault="00F22EF0" w:rsidP="00F22EF0">
      <w:pPr>
        <w:tabs>
          <w:tab w:val="left" w:pos="675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‘Generally, a contract cannot be enforced by a person who is not a party; even if the contract is made for his benefit and purports to give him the right to sue upon it.’</w:t>
      </w:r>
      <w:r w:rsidR="00A54D24">
        <w:rPr>
          <w:rStyle w:val="FootnoteReference"/>
          <w:rFonts w:ascii="Times New Roman" w:hAnsi="Times New Roman" w:cs="Times New Roman"/>
          <w:sz w:val="24"/>
          <w:szCs w:val="24"/>
        </w:rPr>
        <w:footnoteReference w:id="5"/>
      </w:r>
    </w:p>
    <w:p w:rsidR="00F22EF0" w:rsidRPr="00F22EF0" w:rsidRDefault="00F22EF0" w:rsidP="00F22EF0">
      <w:pPr>
        <w:tabs>
          <w:tab w:val="left" w:pos="675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Therefore, Madam Aja cannot sue </w:t>
      </w:r>
      <w:r w:rsidR="00A54D24">
        <w:rPr>
          <w:rFonts w:ascii="Times New Roman" w:hAnsi="Times New Roman" w:cs="Times New Roman"/>
          <w:sz w:val="24"/>
          <w:szCs w:val="24"/>
        </w:rPr>
        <w:t>her employer because she is not a party to the contract. The contract was one between an organization representing employees with the inclusion of Madam Aja and the employer. However, it is for her benefit but she is not a direct party to the contract so she cannot sue her employer. She can however report to her trade to intercede on her behalf.</w:t>
      </w:r>
    </w:p>
    <w:p w:rsidR="006C07BF" w:rsidRDefault="006C07BF" w:rsidP="0029151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Vicarious liability </w:t>
      </w:r>
      <w:r w:rsidRPr="006C07BF">
        <w:rPr>
          <w:rFonts w:ascii="Times New Roman" w:hAnsi="Times New Roman" w:cs="Times New Roman"/>
          <w:sz w:val="24"/>
          <w:szCs w:val="24"/>
        </w:rPr>
        <w:t xml:space="preserve">in labour </w:t>
      </w:r>
      <w:r w:rsidR="00FE7B22" w:rsidRPr="006C07BF">
        <w:rPr>
          <w:rFonts w:ascii="Times New Roman" w:hAnsi="Times New Roman" w:cs="Times New Roman"/>
          <w:sz w:val="24"/>
          <w:szCs w:val="24"/>
        </w:rPr>
        <w:t>law</w:t>
      </w:r>
      <w:r w:rsidRPr="006C07BF">
        <w:rPr>
          <w:rFonts w:ascii="Times New Roman" w:hAnsi="Times New Roman" w:cs="Times New Roman"/>
          <w:sz w:val="24"/>
          <w:szCs w:val="24"/>
        </w:rPr>
        <w:t> is a doctrine that imposes strict liability on employers for the wrongdoings of their employees. Generally, an employer will be he</w:t>
      </w:r>
      <w:r>
        <w:rPr>
          <w:rFonts w:ascii="Times New Roman" w:hAnsi="Times New Roman" w:cs="Times New Roman"/>
          <w:sz w:val="24"/>
          <w:szCs w:val="24"/>
        </w:rPr>
        <w:t>ld liable for any tortious act</w:t>
      </w:r>
      <w:r w:rsidRPr="006C07BF">
        <w:rPr>
          <w:rFonts w:ascii="Times New Roman" w:hAnsi="Times New Roman" w:cs="Times New Roman"/>
          <w:sz w:val="24"/>
          <w:szCs w:val="24"/>
        </w:rPr>
        <w:t xml:space="preserve"> while an employee is conducting their duties.</w:t>
      </w:r>
    </w:p>
    <w:p w:rsidR="00EA65FB" w:rsidRDefault="006C07BF" w:rsidP="00EA65FB">
      <w:pPr>
        <w:pStyle w:val="ListParagraph"/>
        <w:spacing w:line="360" w:lineRule="auto"/>
        <w:ind w:firstLine="720"/>
        <w:jc w:val="both"/>
      </w:pPr>
      <w:r>
        <w:rPr>
          <w:rFonts w:ascii="Times New Roman" w:hAnsi="Times New Roman" w:cs="Times New Roman"/>
          <w:sz w:val="24"/>
          <w:szCs w:val="24"/>
        </w:rPr>
        <w:t>In the case above, the employer of Ade and Eunice, Esso Petroleum is vicariously liable for any tort committed by his employers in the performance of their assigned duties. Ade was performing his duty given to him by Esso Petroleum</w:t>
      </w:r>
      <w:r w:rsidR="0029151A">
        <w:rPr>
          <w:rFonts w:ascii="Times New Roman" w:hAnsi="Times New Roman" w:cs="Times New Roman"/>
          <w:sz w:val="24"/>
          <w:szCs w:val="24"/>
        </w:rPr>
        <w:t xml:space="preserve"> </w:t>
      </w:r>
      <w:r>
        <w:rPr>
          <w:rFonts w:ascii="Times New Roman" w:hAnsi="Times New Roman" w:cs="Times New Roman"/>
          <w:sz w:val="24"/>
          <w:szCs w:val="24"/>
        </w:rPr>
        <w:t>(</w:t>
      </w:r>
      <w:r w:rsidR="0029151A">
        <w:rPr>
          <w:rFonts w:ascii="Times New Roman" w:hAnsi="Times New Roman" w:cs="Times New Roman"/>
          <w:sz w:val="24"/>
          <w:szCs w:val="24"/>
        </w:rPr>
        <w:t>i.e.</w:t>
      </w:r>
      <w:r>
        <w:rPr>
          <w:rFonts w:ascii="Times New Roman" w:hAnsi="Times New Roman" w:cs="Times New Roman"/>
          <w:sz w:val="24"/>
          <w:szCs w:val="24"/>
        </w:rPr>
        <w:t xml:space="preserve"> </w:t>
      </w:r>
      <w:r w:rsidR="0029151A">
        <w:rPr>
          <w:rFonts w:ascii="Times New Roman" w:hAnsi="Times New Roman" w:cs="Times New Roman"/>
          <w:sz w:val="24"/>
          <w:szCs w:val="24"/>
        </w:rPr>
        <w:t>selling</w:t>
      </w:r>
      <w:r>
        <w:rPr>
          <w:rFonts w:ascii="Times New Roman" w:hAnsi="Times New Roman" w:cs="Times New Roman"/>
          <w:sz w:val="24"/>
          <w:szCs w:val="24"/>
        </w:rPr>
        <w:t xml:space="preserve"> fuel from his pump to the </w:t>
      </w:r>
      <w:r w:rsidR="0029151A">
        <w:rPr>
          <w:rFonts w:ascii="Times New Roman" w:hAnsi="Times New Roman" w:cs="Times New Roman"/>
          <w:sz w:val="24"/>
          <w:szCs w:val="24"/>
        </w:rPr>
        <w:t>buyers of petroleum at Esso petroleum</w:t>
      </w:r>
      <w:r>
        <w:rPr>
          <w:rFonts w:ascii="Times New Roman" w:hAnsi="Times New Roman" w:cs="Times New Roman"/>
          <w:sz w:val="24"/>
          <w:szCs w:val="24"/>
        </w:rPr>
        <w:t>)</w:t>
      </w:r>
      <w:r w:rsidR="0029151A">
        <w:rPr>
          <w:rFonts w:ascii="Times New Roman" w:hAnsi="Times New Roman" w:cs="Times New Roman"/>
          <w:sz w:val="24"/>
          <w:szCs w:val="24"/>
        </w:rPr>
        <w:t xml:space="preserve">. He offered to sell to Mr. Olabanjo who ignored him and bought from another colleague. However this made Mr. Olabanjo obstruct Ade’s sales and he reacted in an offensive manner that led to a fight which in turn led to the loss of Mr. Olabanjo’s eye. The company, Esso Petroleum is vicariously liable of Ade while he is performing his duty. Therefore Mr. Olabanjo can bring an action against Esso Petroleum and Ade. This is because Esso Petroleum (the </w:t>
      </w:r>
      <w:r w:rsidR="00EA65FB">
        <w:rPr>
          <w:rFonts w:ascii="Times New Roman" w:hAnsi="Times New Roman" w:cs="Times New Roman"/>
          <w:sz w:val="24"/>
          <w:szCs w:val="24"/>
        </w:rPr>
        <w:t>employer)</w:t>
      </w:r>
      <w:r w:rsidR="0029151A">
        <w:rPr>
          <w:rFonts w:ascii="Times New Roman" w:hAnsi="Times New Roman" w:cs="Times New Roman"/>
          <w:sz w:val="24"/>
          <w:szCs w:val="24"/>
        </w:rPr>
        <w:t xml:space="preserve"> is vicariously liable for Ade’s actions while performing his duty for Esso Petroleum.</w:t>
      </w:r>
      <w:r w:rsidR="00EA65FB" w:rsidRPr="00EA65FB">
        <w:t xml:space="preserve"> </w:t>
      </w:r>
    </w:p>
    <w:p w:rsidR="006C07BF" w:rsidRPr="00EA65FB" w:rsidRDefault="00EA65FB" w:rsidP="00EA65FB">
      <w:pPr>
        <w:pStyle w:val="ListParagraph"/>
        <w:spacing w:line="360" w:lineRule="auto"/>
        <w:ind w:firstLine="720"/>
        <w:jc w:val="both"/>
        <w:rPr>
          <w:rFonts w:ascii="Times New Roman" w:hAnsi="Times New Roman" w:cs="Times New Roman"/>
          <w:sz w:val="24"/>
          <w:szCs w:val="24"/>
        </w:rPr>
      </w:pPr>
      <w:r w:rsidRPr="00EA65FB">
        <w:rPr>
          <w:rFonts w:ascii="Times New Roman" w:hAnsi="Times New Roman" w:cs="Times New Roman"/>
          <w:sz w:val="24"/>
          <w:szCs w:val="24"/>
        </w:rPr>
        <w:t xml:space="preserve">The general principles were re-stated </w:t>
      </w:r>
      <w:r w:rsidRPr="00FE7B22">
        <w:rPr>
          <w:rFonts w:ascii="Times New Roman" w:hAnsi="Times New Roman" w:cs="Times New Roman"/>
          <w:i/>
          <w:sz w:val="24"/>
          <w:szCs w:val="24"/>
        </w:rPr>
        <w:t>in R.O Iyere V Bendel Feed and Flour Mill Limited (2008) 18 NWLR Part 1119 30</w:t>
      </w:r>
      <w:r w:rsidRPr="00EA65FB">
        <w:rPr>
          <w:rFonts w:ascii="Times New Roman" w:hAnsi="Times New Roman" w:cs="Times New Roman"/>
          <w:sz w:val="24"/>
          <w:szCs w:val="24"/>
        </w:rPr>
        <w:t xml:space="preserve"> where the Supr</w:t>
      </w:r>
      <w:r>
        <w:rPr>
          <w:rFonts w:ascii="Times New Roman" w:hAnsi="Times New Roman" w:cs="Times New Roman"/>
          <w:sz w:val="24"/>
          <w:szCs w:val="24"/>
        </w:rPr>
        <w:t xml:space="preserve">eme Court held that: </w:t>
      </w:r>
      <w:r w:rsidRPr="00EA65FB">
        <w:rPr>
          <w:rFonts w:ascii="Times New Roman" w:hAnsi="Times New Roman" w:cs="Times New Roman"/>
          <w:sz w:val="24"/>
          <w:szCs w:val="24"/>
        </w:rPr>
        <w:t xml:space="preserve">The general disposition of the law is that an employer is liable for the wrongful acts of his employee </w:t>
      </w:r>
      <w:r w:rsidRPr="00EA65FB">
        <w:rPr>
          <w:rFonts w:ascii="Times New Roman" w:hAnsi="Times New Roman" w:cs="Times New Roman"/>
          <w:sz w:val="24"/>
          <w:szCs w:val="24"/>
        </w:rPr>
        <w:t>authorized</w:t>
      </w:r>
      <w:r w:rsidRPr="00EA65FB">
        <w:rPr>
          <w:rFonts w:ascii="Times New Roman" w:hAnsi="Times New Roman" w:cs="Times New Roman"/>
          <w:sz w:val="24"/>
          <w:szCs w:val="24"/>
        </w:rPr>
        <w:t xml:space="preserve"> by him or for wrongful modes of doing </w:t>
      </w:r>
      <w:r w:rsidRPr="00EA65FB">
        <w:rPr>
          <w:rFonts w:ascii="Times New Roman" w:hAnsi="Times New Roman" w:cs="Times New Roman"/>
          <w:sz w:val="24"/>
          <w:szCs w:val="24"/>
        </w:rPr>
        <w:t>authorized</w:t>
      </w:r>
      <w:r w:rsidRPr="00EA65FB">
        <w:rPr>
          <w:rFonts w:ascii="Times New Roman" w:hAnsi="Times New Roman" w:cs="Times New Roman"/>
          <w:sz w:val="24"/>
          <w:szCs w:val="24"/>
        </w:rPr>
        <w:t xml:space="preserve"> acts, if the act is one which </w:t>
      </w:r>
      <w:r w:rsidRPr="00EA65FB">
        <w:rPr>
          <w:rFonts w:ascii="Times New Roman" w:hAnsi="Times New Roman" w:cs="Times New Roman"/>
          <w:sz w:val="24"/>
          <w:szCs w:val="24"/>
        </w:rPr>
        <w:lastRenderedPageBreak/>
        <w:t>if lawful will fall within the scope of the employee’s employment as being reasonably necessary for the discharge of his duties or the preservation of the employers interests or property or otherwise incidental to the purposes of his employment</w:t>
      </w:r>
      <w:r>
        <w:rPr>
          <w:rFonts w:ascii="Times New Roman" w:hAnsi="Times New Roman" w:cs="Times New Roman"/>
          <w:sz w:val="24"/>
          <w:szCs w:val="24"/>
        </w:rPr>
        <w:t xml:space="preserve">. Ade injured Mr. Olabanjo while performing his duty hence </w:t>
      </w:r>
      <w:r w:rsidR="00FE7B22">
        <w:rPr>
          <w:rFonts w:ascii="Times New Roman" w:hAnsi="Times New Roman" w:cs="Times New Roman"/>
          <w:sz w:val="24"/>
          <w:szCs w:val="24"/>
        </w:rPr>
        <w:t>Esso Petroleum is liable for the actions of Ade and can have an action instituted against them.</w:t>
      </w:r>
    </w:p>
    <w:p w:rsidR="0029151A" w:rsidRDefault="0029151A" w:rsidP="00EA65FB">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Eunice on the other hand cannot </w:t>
      </w:r>
      <w:r w:rsidR="00EA65FB">
        <w:rPr>
          <w:rFonts w:ascii="Times New Roman" w:hAnsi="Times New Roman" w:cs="Times New Roman"/>
          <w:sz w:val="24"/>
          <w:szCs w:val="24"/>
        </w:rPr>
        <w:t xml:space="preserve">bring an action against Esso Petroleum based of the injury gotten while she was carried by Ade. This because Ade was not on an official duty ordered by Esso Petroleum when he dropped Eunice. This means that because Esso Petroleum did not authorize his action to lift Eunice therefore they are not vicariously liable for his actions. </w:t>
      </w:r>
    </w:p>
    <w:p w:rsidR="00EA65FB" w:rsidRDefault="00EA65FB" w:rsidP="00EA65FB">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means that Esso Petroleum is vicariously liable for the action of Ade in causing an injury to Mr. Olabanjo and can be brought before court by Mr. Olabanjo.</w:t>
      </w:r>
      <w:r w:rsidR="00F22EF0">
        <w:rPr>
          <w:rFonts w:ascii="Times New Roman" w:hAnsi="Times New Roman" w:cs="Times New Roman"/>
          <w:sz w:val="24"/>
          <w:szCs w:val="24"/>
        </w:rPr>
        <w:t xml:space="preserve"> </w:t>
      </w:r>
      <w:r>
        <w:rPr>
          <w:rFonts w:ascii="Times New Roman" w:hAnsi="Times New Roman" w:cs="Times New Roman"/>
          <w:sz w:val="24"/>
          <w:szCs w:val="24"/>
        </w:rPr>
        <w:t xml:space="preserve">Eunice </w:t>
      </w:r>
      <w:r w:rsidR="00F22EF0">
        <w:rPr>
          <w:rFonts w:ascii="Times New Roman" w:hAnsi="Times New Roman" w:cs="Times New Roman"/>
          <w:sz w:val="24"/>
          <w:szCs w:val="24"/>
        </w:rPr>
        <w:t xml:space="preserve">on the other hand </w:t>
      </w:r>
      <w:r>
        <w:rPr>
          <w:rFonts w:ascii="Times New Roman" w:hAnsi="Times New Roman" w:cs="Times New Roman"/>
          <w:sz w:val="24"/>
          <w:szCs w:val="24"/>
        </w:rPr>
        <w:t>cannot institute an action against Esso Petroleum because they are not vicariously liable of his actions during the retirement party.</w:t>
      </w:r>
    </w:p>
    <w:p w:rsidR="00F22EF0" w:rsidRPr="006C07BF" w:rsidRDefault="00F22EF0" w:rsidP="00EA65FB">
      <w:pPr>
        <w:pStyle w:val="ListParagraph"/>
        <w:spacing w:line="360" w:lineRule="auto"/>
        <w:ind w:firstLine="720"/>
        <w:jc w:val="both"/>
        <w:rPr>
          <w:rFonts w:ascii="Times New Roman" w:hAnsi="Times New Roman" w:cs="Times New Roman"/>
          <w:sz w:val="24"/>
          <w:szCs w:val="24"/>
        </w:rPr>
      </w:pPr>
    </w:p>
    <w:sectPr w:rsidR="00F22EF0" w:rsidRPr="006C07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30D" w:rsidRDefault="002C030D" w:rsidP="0029151A">
      <w:pPr>
        <w:spacing w:after="0" w:line="240" w:lineRule="auto"/>
      </w:pPr>
      <w:r>
        <w:separator/>
      </w:r>
    </w:p>
  </w:endnote>
  <w:endnote w:type="continuationSeparator" w:id="0">
    <w:p w:rsidR="002C030D" w:rsidRDefault="002C030D" w:rsidP="0029151A">
      <w:pPr>
        <w:spacing w:after="0" w:line="240" w:lineRule="auto"/>
      </w:pPr>
      <w:r>
        <w:continuationSeparator/>
      </w:r>
    </w:p>
  </w:endnote>
  <w:endnote w:id="1">
    <w:p w:rsidR="006773C1" w:rsidRDefault="006773C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30D" w:rsidRDefault="002C030D" w:rsidP="0029151A">
      <w:pPr>
        <w:spacing w:after="0" w:line="240" w:lineRule="auto"/>
      </w:pPr>
      <w:r>
        <w:separator/>
      </w:r>
    </w:p>
  </w:footnote>
  <w:footnote w:type="continuationSeparator" w:id="0">
    <w:p w:rsidR="002C030D" w:rsidRDefault="002C030D" w:rsidP="0029151A">
      <w:pPr>
        <w:spacing w:after="0" w:line="240" w:lineRule="auto"/>
      </w:pPr>
      <w:r>
        <w:continuationSeparator/>
      </w:r>
    </w:p>
  </w:footnote>
  <w:footnote w:id="1">
    <w:p w:rsidR="00A54D24" w:rsidRDefault="00A54D24">
      <w:pPr>
        <w:pStyle w:val="FootnoteText"/>
      </w:pPr>
      <w:r>
        <w:rPr>
          <w:rStyle w:val="FootnoteReference"/>
        </w:rPr>
        <w:footnoteRef/>
      </w:r>
      <w:r>
        <w:t xml:space="preserve"> Labour Act</w:t>
      </w:r>
    </w:p>
  </w:footnote>
  <w:footnote w:id="2">
    <w:p w:rsidR="00A54D24" w:rsidRDefault="00A54D24">
      <w:pPr>
        <w:pStyle w:val="FootnoteText"/>
      </w:pPr>
      <w:r>
        <w:rPr>
          <w:rStyle w:val="FootnoteReference"/>
        </w:rPr>
        <w:footnoteRef/>
      </w:r>
      <w:r>
        <w:t xml:space="preserve"> Trade Dispute Act</w:t>
      </w:r>
    </w:p>
  </w:footnote>
  <w:footnote w:id="3">
    <w:p w:rsidR="00A54D24" w:rsidRDefault="00A54D24">
      <w:pPr>
        <w:pStyle w:val="FootnoteText"/>
      </w:pPr>
      <w:r>
        <w:rPr>
          <w:rStyle w:val="FootnoteReference"/>
        </w:rPr>
        <w:footnoteRef/>
      </w:r>
      <w:r>
        <w:t xml:space="preserve"> National Industrial Court Act </w:t>
      </w:r>
    </w:p>
  </w:footnote>
  <w:footnote w:id="4">
    <w:p w:rsidR="00A54D24" w:rsidRDefault="00A54D24">
      <w:pPr>
        <w:pStyle w:val="FootnoteText"/>
      </w:pPr>
      <w:r>
        <w:rPr>
          <w:rStyle w:val="FootnoteReference"/>
        </w:rPr>
        <w:footnoteRef/>
      </w:r>
      <w:r>
        <w:t xml:space="preserve"> 1999 Constitution of the Federal Republic=c of Nigeria</w:t>
      </w:r>
    </w:p>
  </w:footnote>
  <w:footnote w:id="5">
    <w:p w:rsidR="00A54D24" w:rsidRDefault="00A54D24">
      <w:pPr>
        <w:pStyle w:val="FootnoteText"/>
      </w:pPr>
      <w:r>
        <w:rPr>
          <w:rStyle w:val="FootnoteReference"/>
        </w:rPr>
        <w:footnoteRef/>
      </w:r>
      <w:r>
        <w:t xml:space="preserve"> LawNigeria judgements.lawnigeria.com</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1F75"/>
    <w:multiLevelType w:val="hybridMultilevel"/>
    <w:tmpl w:val="1AD0F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0CE39A2"/>
    <w:multiLevelType w:val="hybridMultilevel"/>
    <w:tmpl w:val="1FE63EF8"/>
    <w:lvl w:ilvl="0" w:tplc="EFFC1D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313403"/>
    <w:multiLevelType w:val="hybridMultilevel"/>
    <w:tmpl w:val="A378A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65"/>
    <w:rsid w:val="0029151A"/>
    <w:rsid w:val="002C030D"/>
    <w:rsid w:val="006773C1"/>
    <w:rsid w:val="00695A65"/>
    <w:rsid w:val="006C07BF"/>
    <w:rsid w:val="00733514"/>
    <w:rsid w:val="008B5AF1"/>
    <w:rsid w:val="008D635A"/>
    <w:rsid w:val="00A54D24"/>
    <w:rsid w:val="00DE72EB"/>
    <w:rsid w:val="00EA65FB"/>
    <w:rsid w:val="00F22EF0"/>
    <w:rsid w:val="00FE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2EB"/>
    <w:pPr>
      <w:ind w:left="720"/>
      <w:contextualSpacing/>
    </w:pPr>
  </w:style>
  <w:style w:type="paragraph" w:styleId="EndnoteText">
    <w:name w:val="endnote text"/>
    <w:basedOn w:val="Normal"/>
    <w:link w:val="EndnoteTextChar"/>
    <w:uiPriority w:val="99"/>
    <w:semiHidden/>
    <w:unhideWhenUsed/>
    <w:rsid w:val="002915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151A"/>
    <w:rPr>
      <w:sz w:val="20"/>
      <w:szCs w:val="20"/>
    </w:rPr>
  </w:style>
  <w:style w:type="character" w:styleId="EndnoteReference">
    <w:name w:val="endnote reference"/>
    <w:basedOn w:val="DefaultParagraphFont"/>
    <w:uiPriority w:val="99"/>
    <w:semiHidden/>
    <w:unhideWhenUsed/>
    <w:rsid w:val="0029151A"/>
    <w:rPr>
      <w:vertAlign w:val="superscript"/>
    </w:rPr>
  </w:style>
  <w:style w:type="paragraph" w:styleId="FootnoteText">
    <w:name w:val="footnote text"/>
    <w:basedOn w:val="Normal"/>
    <w:link w:val="FootnoteTextChar"/>
    <w:uiPriority w:val="99"/>
    <w:semiHidden/>
    <w:unhideWhenUsed/>
    <w:rsid w:val="00A54D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4D24"/>
    <w:rPr>
      <w:sz w:val="20"/>
      <w:szCs w:val="20"/>
    </w:rPr>
  </w:style>
  <w:style w:type="character" w:styleId="FootnoteReference">
    <w:name w:val="footnote reference"/>
    <w:basedOn w:val="DefaultParagraphFont"/>
    <w:uiPriority w:val="99"/>
    <w:semiHidden/>
    <w:unhideWhenUsed/>
    <w:rsid w:val="00A54D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2EB"/>
    <w:pPr>
      <w:ind w:left="720"/>
      <w:contextualSpacing/>
    </w:pPr>
  </w:style>
  <w:style w:type="paragraph" w:styleId="EndnoteText">
    <w:name w:val="endnote text"/>
    <w:basedOn w:val="Normal"/>
    <w:link w:val="EndnoteTextChar"/>
    <w:uiPriority w:val="99"/>
    <w:semiHidden/>
    <w:unhideWhenUsed/>
    <w:rsid w:val="002915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151A"/>
    <w:rPr>
      <w:sz w:val="20"/>
      <w:szCs w:val="20"/>
    </w:rPr>
  </w:style>
  <w:style w:type="character" w:styleId="EndnoteReference">
    <w:name w:val="endnote reference"/>
    <w:basedOn w:val="DefaultParagraphFont"/>
    <w:uiPriority w:val="99"/>
    <w:semiHidden/>
    <w:unhideWhenUsed/>
    <w:rsid w:val="0029151A"/>
    <w:rPr>
      <w:vertAlign w:val="superscript"/>
    </w:rPr>
  </w:style>
  <w:style w:type="paragraph" w:styleId="FootnoteText">
    <w:name w:val="footnote text"/>
    <w:basedOn w:val="Normal"/>
    <w:link w:val="FootnoteTextChar"/>
    <w:uiPriority w:val="99"/>
    <w:semiHidden/>
    <w:unhideWhenUsed/>
    <w:rsid w:val="00A54D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4D24"/>
    <w:rPr>
      <w:sz w:val="20"/>
      <w:szCs w:val="20"/>
    </w:rPr>
  </w:style>
  <w:style w:type="character" w:styleId="FootnoteReference">
    <w:name w:val="footnote reference"/>
    <w:basedOn w:val="DefaultParagraphFont"/>
    <w:uiPriority w:val="99"/>
    <w:semiHidden/>
    <w:unhideWhenUsed/>
    <w:rsid w:val="00A54D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5BF49-DB41-41A6-9CED-6FFA4FA1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2020-05-08T10:23:00Z</dcterms:created>
  <dcterms:modified xsi:type="dcterms:W3CDTF">2020-05-08T11:57:00Z</dcterms:modified>
</cp:coreProperties>
</file>