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3A" w:rsidRDefault="00726C49" w:rsidP="00011B32">
      <w:pPr>
        <w:spacing w:line="360" w:lineRule="auto"/>
        <w:jc w:val="both"/>
        <w:rPr>
          <w:rFonts w:ascii="Times New Roman" w:hAnsi="Times New Roman" w:cs="Times New Roman"/>
          <w:b/>
          <w:i/>
          <w:sz w:val="32"/>
          <w:szCs w:val="32"/>
        </w:rPr>
      </w:pPr>
      <w:r>
        <w:rPr>
          <w:rFonts w:ascii="Times New Roman" w:hAnsi="Times New Roman" w:cs="Times New Roman"/>
          <w:b/>
          <w:i/>
          <w:sz w:val="32"/>
          <w:szCs w:val="32"/>
        </w:rPr>
        <w:t>NAME: EKWEGBALU STEPHANIE CHINENYE</w:t>
      </w:r>
    </w:p>
    <w:p w:rsidR="00726C49" w:rsidRDefault="00726C49" w:rsidP="00011B32">
      <w:pPr>
        <w:spacing w:line="360" w:lineRule="auto"/>
        <w:jc w:val="both"/>
        <w:rPr>
          <w:rFonts w:ascii="Times New Roman" w:hAnsi="Times New Roman" w:cs="Times New Roman"/>
          <w:b/>
          <w:i/>
          <w:sz w:val="32"/>
          <w:szCs w:val="32"/>
        </w:rPr>
      </w:pPr>
      <w:r>
        <w:rPr>
          <w:rFonts w:ascii="Times New Roman" w:hAnsi="Times New Roman" w:cs="Times New Roman"/>
          <w:b/>
          <w:i/>
          <w:sz w:val="32"/>
          <w:szCs w:val="32"/>
        </w:rPr>
        <w:t>MATRICULATION NUMBER: 16/LAW01/073</w:t>
      </w:r>
    </w:p>
    <w:p w:rsidR="00726C49" w:rsidRDefault="00726C49" w:rsidP="00011B32">
      <w:pPr>
        <w:spacing w:line="360" w:lineRule="auto"/>
        <w:jc w:val="both"/>
        <w:rPr>
          <w:rFonts w:ascii="Times New Roman" w:hAnsi="Times New Roman" w:cs="Times New Roman"/>
          <w:b/>
          <w:i/>
          <w:sz w:val="32"/>
          <w:szCs w:val="32"/>
        </w:rPr>
      </w:pPr>
      <w:r>
        <w:rPr>
          <w:rFonts w:ascii="Times New Roman" w:hAnsi="Times New Roman" w:cs="Times New Roman"/>
          <w:b/>
          <w:i/>
          <w:sz w:val="32"/>
          <w:szCs w:val="32"/>
        </w:rPr>
        <w:t>COURSE TITLE: CONFLICT OF LAWS II</w:t>
      </w:r>
    </w:p>
    <w:p w:rsidR="00726C49" w:rsidRDefault="00726C49"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280C63" w:rsidP="00011B32">
      <w:pPr>
        <w:spacing w:line="360" w:lineRule="auto"/>
        <w:jc w:val="both"/>
        <w:rPr>
          <w:rFonts w:ascii="Times New Roman" w:hAnsi="Times New Roman" w:cs="Times New Roman"/>
          <w:sz w:val="32"/>
          <w:szCs w:val="32"/>
        </w:rPr>
      </w:pPr>
    </w:p>
    <w:p w:rsidR="00280C63" w:rsidRDefault="00CB1226" w:rsidP="00011B32">
      <w:pPr>
        <w:pStyle w:val="ListParagraph"/>
        <w:numPr>
          <w:ilvl w:val="0"/>
          <w:numId w:val="1"/>
        </w:numPr>
        <w:spacing w:line="360" w:lineRule="auto"/>
        <w:jc w:val="both"/>
        <w:rPr>
          <w:rFonts w:ascii="Times New Roman" w:hAnsi="Times New Roman" w:cs="Times New Roman"/>
          <w:b/>
          <w:i/>
          <w:sz w:val="24"/>
          <w:szCs w:val="24"/>
        </w:rPr>
      </w:pPr>
      <w:r w:rsidRPr="00CB1226">
        <w:rPr>
          <w:rFonts w:ascii="Times New Roman" w:hAnsi="Times New Roman" w:cs="Times New Roman"/>
          <w:b/>
          <w:i/>
          <w:sz w:val="24"/>
          <w:szCs w:val="24"/>
        </w:rPr>
        <w:lastRenderedPageBreak/>
        <w:t>Explain the term “Limping Marriage</w:t>
      </w:r>
      <w:r w:rsidR="000919D4">
        <w:rPr>
          <w:rFonts w:ascii="Times New Roman" w:hAnsi="Times New Roman" w:cs="Times New Roman"/>
          <w:b/>
          <w:i/>
          <w:sz w:val="24"/>
          <w:szCs w:val="24"/>
        </w:rPr>
        <w:t>”</w:t>
      </w:r>
      <w:r w:rsidRPr="00CB1226">
        <w:rPr>
          <w:rFonts w:ascii="Times New Roman" w:hAnsi="Times New Roman" w:cs="Times New Roman"/>
          <w:b/>
          <w:i/>
          <w:sz w:val="24"/>
          <w:szCs w:val="24"/>
        </w:rPr>
        <w:t xml:space="preserve"> and identify the ways at common law by which the incidence of limping marriage have been reduced.</w:t>
      </w:r>
    </w:p>
    <w:p w:rsidR="00C74B1F" w:rsidRDefault="00510EEE"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Limping Marriage can be defined as </w:t>
      </w:r>
      <w:r w:rsidR="00B02E5A">
        <w:rPr>
          <w:rFonts w:ascii="Times New Roman" w:hAnsi="Times New Roman" w:cs="Times New Roman"/>
          <w:sz w:val="24"/>
          <w:szCs w:val="24"/>
        </w:rPr>
        <w:t xml:space="preserve">a situation whereby </w:t>
      </w:r>
      <w:r w:rsidR="005F3CC3">
        <w:rPr>
          <w:rFonts w:ascii="Times New Roman" w:hAnsi="Times New Roman" w:cs="Times New Roman"/>
          <w:sz w:val="24"/>
          <w:szCs w:val="24"/>
        </w:rPr>
        <w:t>parties</w:t>
      </w:r>
      <w:r w:rsidR="00B02E5A">
        <w:rPr>
          <w:rFonts w:ascii="Times New Roman" w:hAnsi="Times New Roman" w:cs="Times New Roman"/>
          <w:sz w:val="24"/>
          <w:szCs w:val="24"/>
        </w:rPr>
        <w:t xml:space="preserve"> are recognised as being legally married in one jurisdiction while another jurisdiction </w:t>
      </w:r>
      <w:r w:rsidR="00E23E99">
        <w:rPr>
          <w:rFonts w:ascii="Times New Roman" w:hAnsi="Times New Roman" w:cs="Times New Roman"/>
          <w:sz w:val="24"/>
          <w:szCs w:val="24"/>
        </w:rPr>
        <w:t>does not recognise them as being married.</w:t>
      </w:r>
    </w:p>
    <w:p w:rsidR="00FC563E" w:rsidRDefault="00B36652"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term “Limping Marriage” </w:t>
      </w:r>
      <w:r w:rsidR="00864CAC">
        <w:rPr>
          <w:rFonts w:ascii="Times New Roman" w:hAnsi="Times New Roman" w:cs="Times New Roman"/>
          <w:sz w:val="24"/>
          <w:szCs w:val="24"/>
        </w:rPr>
        <w:t xml:space="preserve">developed as a result of </w:t>
      </w:r>
      <w:r w:rsidR="0042004E">
        <w:rPr>
          <w:rFonts w:ascii="Times New Roman" w:hAnsi="Times New Roman" w:cs="Times New Roman"/>
          <w:sz w:val="24"/>
          <w:szCs w:val="24"/>
        </w:rPr>
        <w:t xml:space="preserve">marriages being recognised in one European </w:t>
      </w:r>
      <w:r w:rsidR="004C1EFE">
        <w:rPr>
          <w:rFonts w:ascii="Times New Roman" w:hAnsi="Times New Roman" w:cs="Times New Roman"/>
          <w:sz w:val="24"/>
          <w:szCs w:val="24"/>
        </w:rPr>
        <w:t>Union</w:t>
      </w:r>
      <w:r w:rsidR="0042004E">
        <w:rPr>
          <w:rFonts w:ascii="Times New Roman" w:hAnsi="Times New Roman" w:cs="Times New Roman"/>
          <w:sz w:val="24"/>
          <w:szCs w:val="24"/>
        </w:rPr>
        <w:t xml:space="preserve"> </w:t>
      </w:r>
      <w:r w:rsidR="004C1EFE">
        <w:rPr>
          <w:rFonts w:ascii="Times New Roman" w:hAnsi="Times New Roman" w:cs="Times New Roman"/>
          <w:sz w:val="24"/>
          <w:szCs w:val="24"/>
        </w:rPr>
        <w:t>and not in another.</w:t>
      </w:r>
      <w:r w:rsidR="003003D2">
        <w:rPr>
          <w:rStyle w:val="FootnoteReference"/>
          <w:rFonts w:ascii="Times New Roman" w:hAnsi="Times New Roman" w:cs="Times New Roman"/>
          <w:sz w:val="24"/>
          <w:szCs w:val="24"/>
        </w:rPr>
        <w:footnoteReference w:id="1"/>
      </w:r>
    </w:p>
    <w:p w:rsidR="00E863A8" w:rsidRDefault="009809D5"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Where a</w:t>
      </w:r>
      <w:r w:rsidR="00E863A8">
        <w:rPr>
          <w:rFonts w:ascii="Times New Roman" w:hAnsi="Times New Roman" w:cs="Times New Roman"/>
          <w:sz w:val="24"/>
          <w:szCs w:val="24"/>
        </w:rPr>
        <w:t xml:space="preserve"> </w:t>
      </w:r>
      <w:r w:rsidR="0086398E">
        <w:rPr>
          <w:rFonts w:ascii="Times New Roman" w:hAnsi="Times New Roman" w:cs="Times New Roman"/>
          <w:sz w:val="24"/>
          <w:szCs w:val="24"/>
        </w:rPr>
        <w:t xml:space="preserve">foreign decree of dissolution of marriage is not recognised in a jurisdiction, </w:t>
      </w:r>
      <w:r w:rsidR="00695EFE">
        <w:rPr>
          <w:rFonts w:ascii="Times New Roman" w:hAnsi="Times New Roman" w:cs="Times New Roman"/>
          <w:sz w:val="24"/>
          <w:szCs w:val="24"/>
        </w:rPr>
        <w:t xml:space="preserve">none of the parties can contract a valid marriage in that </w:t>
      </w:r>
      <w:r>
        <w:rPr>
          <w:rFonts w:ascii="Times New Roman" w:hAnsi="Times New Roman" w:cs="Times New Roman"/>
          <w:sz w:val="24"/>
          <w:szCs w:val="24"/>
        </w:rPr>
        <w:t>jurisdiction. This is because under the eyes of that law, they are still recognised as being legally married.</w:t>
      </w:r>
    </w:p>
    <w:p w:rsidR="007404F9" w:rsidRDefault="007404F9"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However, if that foreign decree of dissolution of marriage is recognised in the forum, the parties are free to contract subsequent marriages</w:t>
      </w:r>
      <w:r w:rsidR="007C4657">
        <w:rPr>
          <w:rFonts w:ascii="Times New Roman" w:hAnsi="Times New Roman" w:cs="Times New Roman"/>
          <w:sz w:val="24"/>
          <w:szCs w:val="24"/>
        </w:rPr>
        <w:t xml:space="preserve"> in the jurisdiction.</w:t>
      </w:r>
    </w:p>
    <w:p w:rsidR="000919D4" w:rsidRDefault="00C616E9"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b/>
          <w:i/>
          <w:sz w:val="24"/>
          <w:szCs w:val="24"/>
        </w:rPr>
        <w:t>Padolecchia</w:t>
      </w:r>
      <w:proofErr w:type="spellEnd"/>
      <w:r>
        <w:rPr>
          <w:rFonts w:ascii="Times New Roman" w:hAnsi="Times New Roman" w:cs="Times New Roman"/>
          <w:b/>
          <w:i/>
          <w:sz w:val="24"/>
          <w:szCs w:val="24"/>
        </w:rPr>
        <w:t xml:space="preserve"> v. </w:t>
      </w:r>
      <w:proofErr w:type="spellStart"/>
      <w:r>
        <w:rPr>
          <w:rFonts w:ascii="Times New Roman" w:hAnsi="Times New Roman" w:cs="Times New Roman"/>
          <w:b/>
          <w:i/>
          <w:sz w:val="24"/>
          <w:szCs w:val="24"/>
        </w:rPr>
        <w:t>Padolecchia</w:t>
      </w:r>
      <w:proofErr w:type="spellEnd"/>
      <w:r w:rsidR="007B0991">
        <w:rPr>
          <w:rStyle w:val="FootnoteReference"/>
          <w:rFonts w:ascii="Times New Roman" w:hAnsi="Times New Roman" w:cs="Times New Roman"/>
          <w:b/>
          <w:i/>
          <w:sz w:val="24"/>
          <w:szCs w:val="24"/>
        </w:rPr>
        <w:footnoteReference w:id="2"/>
      </w:r>
      <w:r w:rsidR="00566523">
        <w:rPr>
          <w:rFonts w:ascii="Times New Roman" w:hAnsi="Times New Roman" w:cs="Times New Roman"/>
          <w:sz w:val="24"/>
          <w:szCs w:val="24"/>
        </w:rPr>
        <w:t xml:space="preserve">, it was held that the husband lacked the capacity to contract a second marriage </w:t>
      </w:r>
      <w:r w:rsidR="003D2095">
        <w:rPr>
          <w:rFonts w:ascii="Times New Roman" w:hAnsi="Times New Roman" w:cs="Times New Roman"/>
          <w:sz w:val="24"/>
          <w:szCs w:val="24"/>
        </w:rPr>
        <w:t>because his first marriage was still subsisting under the Italian law.</w:t>
      </w:r>
      <w:r w:rsidR="00E16722">
        <w:rPr>
          <w:rFonts w:ascii="Times New Roman" w:hAnsi="Times New Roman" w:cs="Times New Roman"/>
          <w:sz w:val="24"/>
          <w:szCs w:val="24"/>
        </w:rPr>
        <w:t xml:space="preserve"> In that case, the husband got married in Italy but obtained a decree of dissolution of marriage in Mexico. The Italian courts did not recognise this decree. This is a clear representation of the term “Limping </w:t>
      </w:r>
      <w:r w:rsidR="00D35C1F">
        <w:rPr>
          <w:rFonts w:ascii="Times New Roman" w:hAnsi="Times New Roman" w:cs="Times New Roman"/>
          <w:sz w:val="24"/>
          <w:szCs w:val="24"/>
        </w:rPr>
        <w:t>Marriage”.</w:t>
      </w:r>
    </w:p>
    <w:p w:rsidR="00D35C1F" w:rsidRDefault="00D35C1F" w:rsidP="00011B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way in which the incidence of limping marriage </w:t>
      </w:r>
      <w:r w:rsidR="0024638E">
        <w:rPr>
          <w:rFonts w:ascii="Times New Roman" w:hAnsi="Times New Roman" w:cs="Times New Roman"/>
          <w:sz w:val="24"/>
          <w:szCs w:val="24"/>
        </w:rPr>
        <w:t xml:space="preserve">has been reduced can be seen in the case of </w:t>
      </w:r>
      <w:proofErr w:type="spellStart"/>
      <w:r w:rsidR="0024638E">
        <w:rPr>
          <w:rFonts w:ascii="Times New Roman" w:hAnsi="Times New Roman" w:cs="Times New Roman"/>
          <w:b/>
          <w:i/>
          <w:sz w:val="24"/>
          <w:szCs w:val="24"/>
        </w:rPr>
        <w:t>Indyka</w:t>
      </w:r>
      <w:proofErr w:type="spellEnd"/>
      <w:r w:rsidR="0024638E">
        <w:rPr>
          <w:rFonts w:ascii="Times New Roman" w:hAnsi="Times New Roman" w:cs="Times New Roman"/>
          <w:b/>
          <w:i/>
          <w:sz w:val="24"/>
          <w:szCs w:val="24"/>
        </w:rPr>
        <w:t xml:space="preserve"> v. </w:t>
      </w:r>
      <w:proofErr w:type="spellStart"/>
      <w:r w:rsidR="0024638E">
        <w:rPr>
          <w:rFonts w:ascii="Times New Roman" w:hAnsi="Times New Roman" w:cs="Times New Roman"/>
          <w:b/>
          <w:i/>
          <w:sz w:val="24"/>
          <w:szCs w:val="24"/>
        </w:rPr>
        <w:t>Indyk</w:t>
      </w:r>
      <w:r w:rsidR="0001230E">
        <w:rPr>
          <w:rFonts w:ascii="Times New Roman" w:hAnsi="Times New Roman" w:cs="Times New Roman"/>
          <w:b/>
          <w:i/>
          <w:sz w:val="24"/>
          <w:szCs w:val="24"/>
        </w:rPr>
        <w:t>a</w:t>
      </w:r>
      <w:proofErr w:type="spellEnd"/>
      <w:r w:rsidR="0001230E">
        <w:rPr>
          <w:rStyle w:val="FootnoteReference"/>
          <w:rFonts w:ascii="Times New Roman" w:hAnsi="Times New Roman" w:cs="Times New Roman"/>
          <w:b/>
          <w:i/>
          <w:sz w:val="24"/>
          <w:szCs w:val="24"/>
        </w:rPr>
        <w:footnoteReference w:id="3"/>
      </w:r>
      <w:r w:rsidR="0024638E">
        <w:rPr>
          <w:rFonts w:ascii="Times New Roman" w:hAnsi="Times New Roman" w:cs="Times New Roman"/>
          <w:b/>
          <w:i/>
          <w:sz w:val="24"/>
          <w:szCs w:val="24"/>
        </w:rPr>
        <w:t xml:space="preserve">. </w:t>
      </w:r>
      <w:r w:rsidR="009E1552">
        <w:rPr>
          <w:rFonts w:ascii="Times New Roman" w:hAnsi="Times New Roman" w:cs="Times New Roman"/>
          <w:sz w:val="24"/>
          <w:szCs w:val="24"/>
        </w:rPr>
        <w:t xml:space="preserve">In that case, it was stated that for a foreign decree of dissolution of marriage to be recognised by another jurisdiction, </w:t>
      </w:r>
      <w:r w:rsidR="002610CB">
        <w:rPr>
          <w:rFonts w:ascii="Times New Roman" w:hAnsi="Times New Roman" w:cs="Times New Roman"/>
          <w:sz w:val="24"/>
          <w:szCs w:val="24"/>
        </w:rPr>
        <w:t>such party or parties must have a “</w:t>
      </w:r>
      <w:r w:rsidR="002610CB">
        <w:rPr>
          <w:rFonts w:ascii="Times New Roman" w:hAnsi="Times New Roman" w:cs="Times New Roman"/>
          <w:b/>
          <w:i/>
          <w:sz w:val="24"/>
          <w:szCs w:val="24"/>
        </w:rPr>
        <w:t xml:space="preserve">real and substantial connection” </w:t>
      </w:r>
      <w:r w:rsidR="002610CB">
        <w:rPr>
          <w:rFonts w:ascii="Times New Roman" w:hAnsi="Times New Roman" w:cs="Times New Roman"/>
          <w:sz w:val="24"/>
          <w:szCs w:val="24"/>
        </w:rPr>
        <w:t xml:space="preserve">with the foreign country. This means that the </w:t>
      </w:r>
      <w:r w:rsidR="002610CB">
        <w:rPr>
          <w:rFonts w:ascii="Times New Roman" w:hAnsi="Times New Roman" w:cs="Times New Roman"/>
          <w:b/>
          <w:i/>
          <w:sz w:val="24"/>
          <w:szCs w:val="24"/>
        </w:rPr>
        <w:t xml:space="preserve">requirement of domicile </w:t>
      </w:r>
      <w:r w:rsidR="002610CB">
        <w:rPr>
          <w:rFonts w:ascii="Times New Roman" w:hAnsi="Times New Roman" w:cs="Times New Roman"/>
          <w:sz w:val="24"/>
          <w:szCs w:val="24"/>
        </w:rPr>
        <w:t>will not be strictly applied.</w:t>
      </w:r>
    </w:p>
    <w:p w:rsidR="00942FD3" w:rsidRDefault="00942FD3" w:rsidP="00011B32">
      <w:pPr>
        <w:spacing w:line="360" w:lineRule="auto"/>
        <w:jc w:val="both"/>
        <w:rPr>
          <w:rFonts w:ascii="Times New Roman" w:hAnsi="Times New Roman" w:cs="Times New Roman"/>
          <w:sz w:val="24"/>
          <w:szCs w:val="24"/>
        </w:rPr>
      </w:pPr>
    </w:p>
    <w:p w:rsidR="005F3CC3" w:rsidRDefault="005F3CC3" w:rsidP="005F3CC3">
      <w:pPr>
        <w:pStyle w:val="ListParagraph"/>
        <w:spacing w:line="360" w:lineRule="auto"/>
        <w:jc w:val="both"/>
        <w:rPr>
          <w:rFonts w:ascii="Times New Roman" w:hAnsi="Times New Roman" w:cs="Times New Roman"/>
          <w:b/>
          <w:i/>
          <w:sz w:val="24"/>
          <w:szCs w:val="24"/>
        </w:rPr>
      </w:pPr>
    </w:p>
    <w:p w:rsidR="00E40078" w:rsidRDefault="00E40078" w:rsidP="005F3CC3">
      <w:pPr>
        <w:pStyle w:val="ListParagraph"/>
        <w:spacing w:line="360" w:lineRule="auto"/>
        <w:jc w:val="both"/>
        <w:rPr>
          <w:rFonts w:ascii="Times New Roman" w:hAnsi="Times New Roman" w:cs="Times New Roman"/>
          <w:b/>
          <w:i/>
          <w:sz w:val="24"/>
          <w:szCs w:val="24"/>
        </w:rPr>
      </w:pPr>
      <w:bookmarkStart w:id="0" w:name="_GoBack"/>
      <w:bookmarkEnd w:id="0"/>
    </w:p>
    <w:p w:rsidR="00053656" w:rsidRPr="005F3CC3" w:rsidRDefault="00053656" w:rsidP="005F3CC3">
      <w:pPr>
        <w:pStyle w:val="ListParagraph"/>
        <w:spacing w:line="360" w:lineRule="auto"/>
        <w:jc w:val="both"/>
        <w:rPr>
          <w:rFonts w:ascii="Times New Roman" w:hAnsi="Times New Roman" w:cs="Times New Roman"/>
          <w:b/>
          <w:i/>
          <w:sz w:val="24"/>
          <w:szCs w:val="24"/>
        </w:rPr>
      </w:pPr>
    </w:p>
    <w:p w:rsidR="0068771D" w:rsidRPr="00053656" w:rsidRDefault="00F8791F" w:rsidP="00053656">
      <w:pPr>
        <w:pStyle w:val="ListParagraph"/>
        <w:numPr>
          <w:ilvl w:val="0"/>
          <w:numId w:val="1"/>
        </w:numPr>
        <w:spacing w:line="360" w:lineRule="auto"/>
        <w:jc w:val="both"/>
        <w:rPr>
          <w:rFonts w:ascii="Times New Roman" w:hAnsi="Times New Roman" w:cs="Times New Roman"/>
          <w:b/>
          <w:i/>
          <w:sz w:val="24"/>
          <w:szCs w:val="24"/>
        </w:rPr>
      </w:pPr>
      <w:r w:rsidRPr="00053656">
        <w:rPr>
          <w:rFonts w:ascii="Times New Roman" w:hAnsi="Times New Roman" w:cs="Times New Roman"/>
          <w:b/>
          <w:i/>
          <w:sz w:val="24"/>
          <w:szCs w:val="24"/>
        </w:rPr>
        <w:lastRenderedPageBreak/>
        <w:t>Explain, succinctly, Mutation or Conversion of Marriage in Conflict of Laws.</w:t>
      </w:r>
    </w:p>
    <w:p w:rsidR="003B15C7" w:rsidRDefault="005E0DAD"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It is generally stated by courts that</w:t>
      </w:r>
      <w:r w:rsidR="00385348">
        <w:rPr>
          <w:rFonts w:ascii="Times New Roman" w:hAnsi="Times New Roman" w:cs="Times New Roman"/>
          <w:sz w:val="24"/>
          <w:szCs w:val="24"/>
        </w:rPr>
        <w:t xml:space="preserve"> parties to a polygamous marriage cannot </w:t>
      </w:r>
      <w:r w:rsidR="00063A06">
        <w:rPr>
          <w:rFonts w:ascii="Times New Roman" w:hAnsi="Times New Roman" w:cs="Times New Roman"/>
          <w:sz w:val="24"/>
          <w:szCs w:val="24"/>
        </w:rPr>
        <w:t xml:space="preserve">seek matrimonial relief from common law. This is because </w:t>
      </w:r>
      <w:r w:rsidR="00871C0A">
        <w:rPr>
          <w:rFonts w:ascii="Times New Roman" w:hAnsi="Times New Roman" w:cs="Times New Roman"/>
          <w:sz w:val="24"/>
          <w:szCs w:val="24"/>
        </w:rPr>
        <w:t xml:space="preserve">the common law recognises monogamous marriage i.e. marriage between one man and one woman </w:t>
      </w:r>
      <w:r w:rsidR="00E0129A">
        <w:rPr>
          <w:rFonts w:ascii="Times New Roman" w:hAnsi="Times New Roman" w:cs="Times New Roman"/>
          <w:sz w:val="24"/>
          <w:szCs w:val="24"/>
        </w:rPr>
        <w:t xml:space="preserve">in accordance with the statement made by </w:t>
      </w:r>
      <w:r w:rsidR="00E0129A">
        <w:rPr>
          <w:rFonts w:ascii="Times New Roman" w:hAnsi="Times New Roman" w:cs="Times New Roman"/>
          <w:b/>
          <w:i/>
          <w:sz w:val="24"/>
          <w:szCs w:val="24"/>
        </w:rPr>
        <w:t xml:space="preserve">Lord Penzance </w:t>
      </w:r>
      <w:r w:rsidR="00E0129A">
        <w:rPr>
          <w:rFonts w:ascii="Times New Roman" w:hAnsi="Times New Roman" w:cs="Times New Roman"/>
          <w:sz w:val="24"/>
          <w:szCs w:val="24"/>
        </w:rPr>
        <w:t xml:space="preserve">in the famous case of </w:t>
      </w:r>
      <w:r w:rsidR="00E0129A">
        <w:rPr>
          <w:rFonts w:ascii="Times New Roman" w:hAnsi="Times New Roman" w:cs="Times New Roman"/>
          <w:b/>
          <w:i/>
          <w:sz w:val="24"/>
          <w:szCs w:val="24"/>
        </w:rPr>
        <w:t>Hyde v. Hyde</w:t>
      </w:r>
      <w:r w:rsidR="00D47FB6">
        <w:rPr>
          <w:rStyle w:val="FootnoteReference"/>
          <w:rFonts w:ascii="Times New Roman" w:hAnsi="Times New Roman" w:cs="Times New Roman"/>
          <w:b/>
          <w:i/>
          <w:sz w:val="24"/>
          <w:szCs w:val="24"/>
        </w:rPr>
        <w:footnoteReference w:id="4"/>
      </w:r>
      <w:r w:rsidR="00E0129A">
        <w:rPr>
          <w:rFonts w:ascii="Times New Roman" w:hAnsi="Times New Roman" w:cs="Times New Roman"/>
          <w:b/>
          <w:i/>
          <w:sz w:val="24"/>
          <w:szCs w:val="24"/>
        </w:rPr>
        <w:t>.</w:t>
      </w:r>
      <w:r w:rsidR="00F44827">
        <w:rPr>
          <w:rFonts w:ascii="Times New Roman" w:hAnsi="Times New Roman" w:cs="Times New Roman"/>
          <w:b/>
          <w:i/>
          <w:sz w:val="24"/>
          <w:szCs w:val="24"/>
        </w:rPr>
        <w:t xml:space="preserve"> </w:t>
      </w:r>
      <w:r w:rsidR="00BC0DEA">
        <w:rPr>
          <w:rFonts w:ascii="Times New Roman" w:hAnsi="Times New Roman" w:cs="Times New Roman"/>
          <w:sz w:val="24"/>
          <w:szCs w:val="24"/>
        </w:rPr>
        <w:t>What this means is that m</w:t>
      </w:r>
      <w:r w:rsidR="00CF0801">
        <w:rPr>
          <w:rFonts w:ascii="Times New Roman" w:hAnsi="Times New Roman" w:cs="Times New Roman"/>
          <w:sz w:val="24"/>
          <w:szCs w:val="24"/>
        </w:rPr>
        <w:t xml:space="preserve">arriage under the common law is based on monogamy. Therefore, a polygamous marriage cannot enjoy the </w:t>
      </w:r>
      <w:r w:rsidR="00883F2F">
        <w:rPr>
          <w:rFonts w:ascii="Times New Roman" w:hAnsi="Times New Roman" w:cs="Times New Roman"/>
          <w:sz w:val="24"/>
          <w:szCs w:val="24"/>
        </w:rPr>
        <w:t>matrimonial benefits of the common law.</w:t>
      </w:r>
    </w:p>
    <w:p w:rsidR="00BC0DEA" w:rsidRDefault="004A2F69"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i/>
          <w:sz w:val="24"/>
          <w:szCs w:val="24"/>
        </w:rPr>
        <w:t xml:space="preserve">Sowa v. </w:t>
      </w:r>
      <w:r w:rsidR="00A27DC9">
        <w:rPr>
          <w:rFonts w:ascii="Times New Roman" w:hAnsi="Times New Roman" w:cs="Times New Roman"/>
          <w:b/>
          <w:i/>
          <w:sz w:val="24"/>
          <w:szCs w:val="24"/>
        </w:rPr>
        <w:t>Sowa</w:t>
      </w:r>
      <w:r w:rsidR="00293905">
        <w:rPr>
          <w:rStyle w:val="FootnoteReference"/>
          <w:rFonts w:ascii="Times New Roman" w:hAnsi="Times New Roman" w:cs="Times New Roman"/>
          <w:b/>
          <w:i/>
          <w:sz w:val="24"/>
          <w:szCs w:val="24"/>
        </w:rPr>
        <w:footnoteReference w:id="5"/>
      </w:r>
      <w:r w:rsidR="00A27DC9">
        <w:rPr>
          <w:rFonts w:ascii="Times New Roman" w:hAnsi="Times New Roman" w:cs="Times New Roman"/>
          <w:b/>
          <w:i/>
          <w:sz w:val="24"/>
          <w:szCs w:val="24"/>
        </w:rPr>
        <w:t xml:space="preserve">, </w:t>
      </w:r>
      <w:r w:rsidR="00A27DC9">
        <w:rPr>
          <w:rFonts w:ascii="Times New Roman" w:hAnsi="Times New Roman" w:cs="Times New Roman"/>
          <w:sz w:val="24"/>
          <w:szCs w:val="24"/>
        </w:rPr>
        <w:t>the English court</w:t>
      </w:r>
      <w:r w:rsidR="002A3326">
        <w:rPr>
          <w:rFonts w:ascii="Times New Roman" w:hAnsi="Times New Roman" w:cs="Times New Roman"/>
          <w:sz w:val="24"/>
          <w:szCs w:val="24"/>
        </w:rPr>
        <w:t xml:space="preserve"> of Appeal stated that “if the ceremony is </w:t>
      </w:r>
      <w:r w:rsidR="00BA4646">
        <w:rPr>
          <w:rFonts w:ascii="Times New Roman" w:hAnsi="Times New Roman" w:cs="Times New Roman"/>
          <w:sz w:val="24"/>
          <w:szCs w:val="24"/>
        </w:rPr>
        <w:t xml:space="preserve">polygamous, then it does not come within </w:t>
      </w:r>
      <w:r w:rsidR="003F290E">
        <w:rPr>
          <w:rFonts w:ascii="Times New Roman" w:hAnsi="Times New Roman" w:cs="Times New Roman"/>
          <w:sz w:val="24"/>
          <w:szCs w:val="24"/>
        </w:rPr>
        <w:t>the word “marriage”</w:t>
      </w:r>
      <w:r w:rsidR="0008614E">
        <w:rPr>
          <w:rFonts w:ascii="Times New Roman" w:hAnsi="Times New Roman" w:cs="Times New Roman"/>
          <w:sz w:val="24"/>
          <w:szCs w:val="24"/>
        </w:rPr>
        <w:t xml:space="preserve"> for the purposes of the Act relating to matrimonial matters</w:t>
      </w:r>
      <w:r w:rsidR="00664179">
        <w:rPr>
          <w:rFonts w:ascii="Times New Roman" w:hAnsi="Times New Roman" w:cs="Times New Roman"/>
          <w:sz w:val="24"/>
          <w:szCs w:val="24"/>
        </w:rPr>
        <w:t>...”</w:t>
      </w:r>
    </w:p>
    <w:p w:rsidR="00F279E4" w:rsidRDefault="00F279E4"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the courts have </w:t>
      </w:r>
      <w:r w:rsidR="00037832">
        <w:rPr>
          <w:rFonts w:ascii="Times New Roman" w:hAnsi="Times New Roman" w:cs="Times New Roman"/>
          <w:sz w:val="24"/>
          <w:szCs w:val="24"/>
        </w:rPr>
        <w:t xml:space="preserve">stated their displeasure with the fact that an innocent, victimized party under a polygamous marriage </w:t>
      </w:r>
      <w:r w:rsidR="005F3CC3">
        <w:rPr>
          <w:rFonts w:ascii="Times New Roman" w:hAnsi="Times New Roman" w:cs="Times New Roman"/>
          <w:sz w:val="24"/>
          <w:szCs w:val="24"/>
        </w:rPr>
        <w:t>cannot seek matrimonial relief just because he or she isn’t married in accordance with the provisions of the Matrimonial Causes Act.</w:t>
      </w:r>
    </w:p>
    <w:p w:rsidR="00780560" w:rsidRDefault="00780560"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It is now possible for a polygamous marriage to be subsequently converted to a monogamous marriage for the purpose of obtaining matrimonial relief under the Act.</w:t>
      </w:r>
      <w:r w:rsidR="0046730A">
        <w:rPr>
          <w:rFonts w:ascii="Times New Roman" w:hAnsi="Times New Roman" w:cs="Times New Roman"/>
          <w:sz w:val="24"/>
          <w:szCs w:val="24"/>
        </w:rPr>
        <w:t xml:space="preserve"> This was supported by </w:t>
      </w:r>
      <w:r w:rsidR="002A3CE7">
        <w:rPr>
          <w:rFonts w:ascii="Times New Roman" w:hAnsi="Times New Roman" w:cs="Times New Roman"/>
          <w:b/>
          <w:i/>
          <w:sz w:val="24"/>
          <w:szCs w:val="24"/>
        </w:rPr>
        <w:t xml:space="preserve">Lord Maugham </w:t>
      </w:r>
      <w:r w:rsidR="002A3CE7">
        <w:rPr>
          <w:rFonts w:ascii="Times New Roman" w:hAnsi="Times New Roman" w:cs="Times New Roman"/>
          <w:sz w:val="24"/>
          <w:szCs w:val="24"/>
        </w:rPr>
        <w:t xml:space="preserve">in the </w:t>
      </w:r>
      <w:r w:rsidR="002A3CE7">
        <w:rPr>
          <w:rFonts w:ascii="Times New Roman" w:hAnsi="Times New Roman" w:cs="Times New Roman"/>
          <w:b/>
          <w:i/>
          <w:sz w:val="24"/>
          <w:szCs w:val="24"/>
        </w:rPr>
        <w:t>Sinha Peerage</w:t>
      </w:r>
      <w:r w:rsidR="00BD31E3">
        <w:rPr>
          <w:rStyle w:val="FootnoteReference"/>
          <w:rFonts w:ascii="Times New Roman" w:hAnsi="Times New Roman" w:cs="Times New Roman"/>
          <w:b/>
          <w:i/>
          <w:sz w:val="24"/>
          <w:szCs w:val="24"/>
        </w:rPr>
        <w:footnoteReference w:id="6"/>
      </w:r>
      <w:r w:rsidR="002A3CE7">
        <w:rPr>
          <w:rFonts w:ascii="Times New Roman" w:hAnsi="Times New Roman" w:cs="Times New Roman"/>
          <w:b/>
          <w:i/>
          <w:sz w:val="24"/>
          <w:szCs w:val="24"/>
        </w:rPr>
        <w:t xml:space="preserve"> </w:t>
      </w:r>
      <w:r w:rsidR="002A3CE7">
        <w:rPr>
          <w:rFonts w:ascii="Times New Roman" w:hAnsi="Times New Roman" w:cs="Times New Roman"/>
          <w:sz w:val="24"/>
          <w:szCs w:val="24"/>
        </w:rPr>
        <w:t>case</w:t>
      </w:r>
      <w:r w:rsidR="00C30B9A">
        <w:rPr>
          <w:rFonts w:ascii="Times New Roman" w:hAnsi="Times New Roman" w:cs="Times New Roman"/>
          <w:sz w:val="24"/>
          <w:szCs w:val="24"/>
        </w:rPr>
        <w:t xml:space="preserve"> and a number of other cases.</w:t>
      </w:r>
    </w:p>
    <w:p w:rsidR="007B2E0E" w:rsidRDefault="007B2E0E"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ways in which a polygamous marriage can subsequently be converted to a monogamous marriage is by change of domicile of the husband. </w:t>
      </w:r>
      <w:r w:rsidR="00680511">
        <w:rPr>
          <w:rFonts w:ascii="Times New Roman" w:hAnsi="Times New Roman" w:cs="Times New Roman"/>
          <w:sz w:val="24"/>
          <w:szCs w:val="24"/>
        </w:rPr>
        <w:t xml:space="preserve">This point is clearly stated in the case of </w:t>
      </w:r>
      <w:r w:rsidR="00680511">
        <w:rPr>
          <w:rFonts w:ascii="Times New Roman" w:hAnsi="Times New Roman" w:cs="Times New Roman"/>
          <w:b/>
          <w:i/>
          <w:sz w:val="24"/>
          <w:szCs w:val="24"/>
        </w:rPr>
        <w:t>Ali v. Al</w:t>
      </w:r>
      <w:r w:rsidR="00CB4CDA">
        <w:rPr>
          <w:rFonts w:ascii="Times New Roman" w:hAnsi="Times New Roman" w:cs="Times New Roman"/>
          <w:b/>
          <w:i/>
          <w:sz w:val="24"/>
          <w:szCs w:val="24"/>
        </w:rPr>
        <w:t>i</w:t>
      </w:r>
      <w:r w:rsidR="00175B5A">
        <w:rPr>
          <w:rFonts w:ascii="Times New Roman" w:hAnsi="Times New Roman" w:cs="Times New Roman"/>
          <w:b/>
          <w:i/>
          <w:sz w:val="24"/>
          <w:szCs w:val="24"/>
        </w:rPr>
        <w:t>.</w:t>
      </w:r>
      <w:r w:rsidR="00680511">
        <w:rPr>
          <w:rFonts w:ascii="Times New Roman" w:hAnsi="Times New Roman" w:cs="Times New Roman"/>
          <w:b/>
          <w:i/>
          <w:sz w:val="24"/>
          <w:szCs w:val="24"/>
        </w:rPr>
        <w:t xml:space="preserve"> </w:t>
      </w:r>
    </w:p>
    <w:p w:rsidR="00F2182E" w:rsidRDefault="00680511"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In that case, a man married a woman in India in accordance to Muslim law</w:t>
      </w:r>
      <w:r w:rsidR="00093E38">
        <w:rPr>
          <w:rFonts w:ascii="Times New Roman" w:hAnsi="Times New Roman" w:cs="Times New Roman"/>
          <w:sz w:val="24"/>
          <w:szCs w:val="24"/>
        </w:rPr>
        <w:t xml:space="preserve">. Under Islamic law, a man is permitted to marry more than one wife. This meant that </w:t>
      </w:r>
      <w:r w:rsidR="004246C0">
        <w:rPr>
          <w:rFonts w:ascii="Times New Roman" w:hAnsi="Times New Roman" w:cs="Times New Roman"/>
          <w:sz w:val="24"/>
          <w:szCs w:val="24"/>
        </w:rPr>
        <w:t>his marriage was potentially polygamous. Later on, the husband moved to England and hid wife accompanied him. In England, she birthed a son. After some time, she left England to India with the boy.</w:t>
      </w:r>
      <w:r w:rsidR="00AB554A" w:rsidRPr="00AB554A">
        <w:rPr>
          <w:rFonts w:ascii="Times New Roman" w:hAnsi="Times New Roman" w:cs="Times New Roman"/>
          <w:sz w:val="24"/>
          <w:szCs w:val="24"/>
        </w:rPr>
        <w:t xml:space="preserve"> </w:t>
      </w:r>
      <w:r w:rsidR="00AB554A">
        <w:rPr>
          <w:rFonts w:ascii="Times New Roman" w:hAnsi="Times New Roman" w:cs="Times New Roman"/>
          <w:sz w:val="24"/>
          <w:szCs w:val="24"/>
        </w:rPr>
        <w:t>He acquired a domicile of choice in England.</w:t>
      </w:r>
      <w:r w:rsidR="004246C0">
        <w:rPr>
          <w:rFonts w:ascii="Times New Roman" w:hAnsi="Times New Roman" w:cs="Times New Roman"/>
          <w:sz w:val="24"/>
          <w:szCs w:val="24"/>
        </w:rPr>
        <w:t xml:space="preserve"> Subsequently, the husband married another wife and she birthed a child for him</w:t>
      </w:r>
      <w:r w:rsidR="00DE1F3E">
        <w:rPr>
          <w:rFonts w:ascii="Times New Roman" w:hAnsi="Times New Roman" w:cs="Times New Roman"/>
          <w:sz w:val="24"/>
          <w:szCs w:val="24"/>
        </w:rPr>
        <w:t xml:space="preserve">. </w:t>
      </w:r>
      <w:r w:rsidR="004246C0">
        <w:rPr>
          <w:rFonts w:ascii="Times New Roman" w:hAnsi="Times New Roman" w:cs="Times New Roman"/>
          <w:sz w:val="24"/>
          <w:szCs w:val="24"/>
        </w:rPr>
        <w:t xml:space="preserve">He </w:t>
      </w:r>
      <w:r w:rsidR="00EE1052">
        <w:rPr>
          <w:rFonts w:ascii="Times New Roman" w:hAnsi="Times New Roman" w:cs="Times New Roman"/>
          <w:sz w:val="24"/>
          <w:szCs w:val="24"/>
        </w:rPr>
        <w:t xml:space="preserve">then sought a decree of dissolution of marriage of his first marriage from the English court on the basis of desertion. The first wife counter-claimed, stating that </w:t>
      </w:r>
      <w:r w:rsidR="00AB3B0F">
        <w:rPr>
          <w:rFonts w:ascii="Times New Roman" w:hAnsi="Times New Roman" w:cs="Times New Roman"/>
          <w:sz w:val="24"/>
          <w:szCs w:val="24"/>
        </w:rPr>
        <w:t xml:space="preserve">she left on the basis of cruelty and also, </w:t>
      </w:r>
      <w:r w:rsidR="00EE1052">
        <w:rPr>
          <w:rFonts w:ascii="Times New Roman" w:hAnsi="Times New Roman" w:cs="Times New Roman"/>
          <w:sz w:val="24"/>
          <w:szCs w:val="24"/>
        </w:rPr>
        <w:t xml:space="preserve">the marriage between them was </w:t>
      </w:r>
      <w:r w:rsidR="00486C5D">
        <w:rPr>
          <w:rFonts w:ascii="Times New Roman" w:hAnsi="Times New Roman" w:cs="Times New Roman"/>
          <w:sz w:val="24"/>
          <w:szCs w:val="24"/>
        </w:rPr>
        <w:t xml:space="preserve">a polygamous marriage which meant that the English </w:t>
      </w:r>
      <w:r w:rsidR="00486C5D">
        <w:rPr>
          <w:rFonts w:ascii="Times New Roman" w:hAnsi="Times New Roman" w:cs="Times New Roman"/>
          <w:sz w:val="24"/>
          <w:szCs w:val="24"/>
        </w:rPr>
        <w:lastRenderedPageBreak/>
        <w:t xml:space="preserve">court did not have jurisdiction to </w:t>
      </w:r>
      <w:r w:rsidR="00AB3B0F">
        <w:rPr>
          <w:rFonts w:ascii="Times New Roman" w:hAnsi="Times New Roman" w:cs="Times New Roman"/>
          <w:sz w:val="24"/>
          <w:szCs w:val="24"/>
        </w:rPr>
        <w:t xml:space="preserve">try the case. </w:t>
      </w:r>
      <w:r w:rsidR="00333928">
        <w:rPr>
          <w:rFonts w:ascii="Times New Roman" w:hAnsi="Times New Roman" w:cs="Times New Roman"/>
          <w:sz w:val="24"/>
          <w:szCs w:val="24"/>
        </w:rPr>
        <w:t>She also brought an action against the husband on grounds of adultery.</w:t>
      </w:r>
    </w:p>
    <w:p w:rsidR="00333928" w:rsidRDefault="00EE4839" w:rsidP="003B15C7">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Cumming-Bruce, J., </w:t>
      </w:r>
      <w:r>
        <w:rPr>
          <w:rFonts w:ascii="Times New Roman" w:hAnsi="Times New Roman" w:cs="Times New Roman"/>
          <w:sz w:val="24"/>
          <w:szCs w:val="24"/>
        </w:rPr>
        <w:t xml:space="preserve">then held that since the marriage was a polygamous marriage, the courts </w:t>
      </w:r>
      <w:r w:rsidR="00B67F02">
        <w:rPr>
          <w:rFonts w:ascii="Times New Roman" w:hAnsi="Times New Roman" w:cs="Times New Roman"/>
          <w:sz w:val="24"/>
          <w:szCs w:val="24"/>
        </w:rPr>
        <w:t xml:space="preserve">could not exercise jurisdiction over the case. However, he also held that the wife was entitled to relief in relation to adultery because as at the time the husband married the second woman, the marriage between him and the first wife had been converted to a monogamous marriage </w:t>
      </w:r>
      <w:r w:rsidR="003D3657">
        <w:rPr>
          <w:rFonts w:ascii="Times New Roman" w:hAnsi="Times New Roman" w:cs="Times New Roman"/>
          <w:sz w:val="24"/>
          <w:szCs w:val="24"/>
        </w:rPr>
        <w:t>and this was because he had subsequently changed his domicile to England.</w:t>
      </w:r>
    </w:p>
    <w:p w:rsidR="005A1CBD" w:rsidRDefault="005A1CBD" w:rsidP="003B15C7">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Ali v. Ali </w:t>
      </w:r>
      <w:r>
        <w:rPr>
          <w:rFonts w:ascii="Times New Roman" w:hAnsi="Times New Roman" w:cs="Times New Roman"/>
          <w:sz w:val="24"/>
          <w:szCs w:val="24"/>
        </w:rPr>
        <w:t xml:space="preserve">raises a number of questions. However, before stating these questions, it is trite to note that there is a rule which states that the </w:t>
      </w:r>
      <w:proofErr w:type="spellStart"/>
      <w:r>
        <w:rPr>
          <w:rFonts w:ascii="Times New Roman" w:hAnsi="Times New Roman" w:cs="Times New Roman"/>
          <w:b/>
          <w:i/>
          <w:sz w:val="24"/>
          <w:szCs w:val="24"/>
        </w:rPr>
        <w:t>lex</w:t>
      </w:r>
      <w:proofErr w:type="spellEnd"/>
      <w:r>
        <w:rPr>
          <w:rFonts w:ascii="Times New Roman" w:hAnsi="Times New Roman" w:cs="Times New Roman"/>
          <w:b/>
          <w:i/>
          <w:sz w:val="24"/>
          <w:szCs w:val="24"/>
        </w:rPr>
        <w:t xml:space="preserve"> loci </w:t>
      </w:r>
      <w:proofErr w:type="spellStart"/>
      <w:r>
        <w:rPr>
          <w:rFonts w:ascii="Times New Roman" w:hAnsi="Times New Roman" w:cs="Times New Roman"/>
          <w:b/>
          <w:i/>
          <w:sz w:val="24"/>
          <w:szCs w:val="24"/>
        </w:rPr>
        <w:t>celebrationis</w:t>
      </w:r>
      <w:proofErr w:type="spellEnd"/>
      <w:r>
        <w:rPr>
          <w:rFonts w:ascii="Times New Roman" w:hAnsi="Times New Roman" w:cs="Times New Roman"/>
          <w:b/>
          <w:i/>
          <w:sz w:val="24"/>
          <w:szCs w:val="24"/>
        </w:rPr>
        <w:t xml:space="preserve"> </w:t>
      </w:r>
      <w:r>
        <w:rPr>
          <w:rFonts w:ascii="Times New Roman" w:hAnsi="Times New Roman" w:cs="Times New Roman"/>
          <w:sz w:val="24"/>
          <w:szCs w:val="24"/>
        </w:rPr>
        <w:t xml:space="preserve">governs the nature of a marriage. </w:t>
      </w:r>
      <w:r w:rsidR="00B4152F">
        <w:rPr>
          <w:rFonts w:ascii="Times New Roman" w:hAnsi="Times New Roman" w:cs="Times New Roman"/>
          <w:sz w:val="24"/>
          <w:szCs w:val="24"/>
        </w:rPr>
        <w:t xml:space="preserve">The first question raised is whether a law other than the law of the place of celebration can alter the nature of a marriage. </w:t>
      </w:r>
      <w:r w:rsidR="00B4152F">
        <w:rPr>
          <w:rFonts w:ascii="Times New Roman" w:hAnsi="Times New Roman" w:cs="Times New Roman"/>
          <w:b/>
          <w:i/>
          <w:sz w:val="24"/>
          <w:szCs w:val="24"/>
        </w:rPr>
        <w:t xml:space="preserve">Ali v. Ali </w:t>
      </w:r>
      <w:r w:rsidR="0042602C">
        <w:rPr>
          <w:rFonts w:ascii="Times New Roman" w:hAnsi="Times New Roman" w:cs="Times New Roman"/>
          <w:sz w:val="24"/>
          <w:szCs w:val="24"/>
        </w:rPr>
        <w:t xml:space="preserve">is contrary to the supposed principle. In that case, the law of a subsequently acquired domicile </w:t>
      </w:r>
      <w:r w:rsidR="00065982">
        <w:rPr>
          <w:rFonts w:ascii="Times New Roman" w:hAnsi="Times New Roman" w:cs="Times New Roman"/>
          <w:sz w:val="24"/>
          <w:szCs w:val="24"/>
        </w:rPr>
        <w:t xml:space="preserve">was held to be relevant in deciding the nature of a marriage. </w:t>
      </w:r>
    </w:p>
    <w:p w:rsidR="00065982" w:rsidRDefault="00065982"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Another question is whether </w:t>
      </w:r>
      <w:r w:rsidR="00071EBB">
        <w:rPr>
          <w:rFonts w:ascii="Times New Roman" w:hAnsi="Times New Roman" w:cs="Times New Roman"/>
          <w:sz w:val="24"/>
          <w:szCs w:val="24"/>
        </w:rPr>
        <w:t xml:space="preserve">an intention on the part of the husband alone </w:t>
      </w:r>
      <w:r w:rsidR="007E6755">
        <w:rPr>
          <w:rFonts w:ascii="Times New Roman" w:hAnsi="Times New Roman" w:cs="Times New Roman"/>
          <w:sz w:val="24"/>
          <w:szCs w:val="24"/>
        </w:rPr>
        <w:t xml:space="preserve">is sufficient to alter the character of a union </w:t>
      </w:r>
      <w:r w:rsidR="004F71B0">
        <w:rPr>
          <w:rFonts w:ascii="Times New Roman" w:hAnsi="Times New Roman" w:cs="Times New Roman"/>
          <w:sz w:val="24"/>
          <w:szCs w:val="24"/>
        </w:rPr>
        <w:t>by change of domicile</w:t>
      </w:r>
      <w:r w:rsidR="00C04C75">
        <w:rPr>
          <w:rFonts w:ascii="Times New Roman" w:hAnsi="Times New Roman" w:cs="Times New Roman"/>
          <w:sz w:val="24"/>
          <w:szCs w:val="24"/>
        </w:rPr>
        <w:t xml:space="preserve"> or must the change be </w:t>
      </w:r>
      <w:r w:rsidR="00157036">
        <w:rPr>
          <w:rFonts w:ascii="Times New Roman" w:hAnsi="Times New Roman" w:cs="Times New Roman"/>
          <w:sz w:val="24"/>
          <w:szCs w:val="24"/>
        </w:rPr>
        <w:t xml:space="preserve">as a result of a bilateral decision. </w:t>
      </w:r>
      <w:r w:rsidR="00820E74">
        <w:rPr>
          <w:rFonts w:ascii="Times New Roman" w:hAnsi="Times New Roman" w:cs="Times New Roman"/>
          <w:sz w:val="24"/>
          <w:szCs w:val="24"/>
        </w:rPr>
        <w:t>It is implicit in his Lordship's reasoning that an intention on the part of the husband alone is sufficient to alter the nature of the marriage.</w:t>
      </w:r>
    </w:p>
    <w:p w:rsidR="00C30B9A" w:rsidRDefault="001A7EC8"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b/>
          <w:i/>
          <w:sz w:val="24"/>
          <w:szCs w:val="24"/>
        </w:rPr>
        <w:t>Parkasho</w:t>
      </w:r>
      <w:proofErr w:type="spellEnd"/>
      <w:r>
        <w:rPr>
          <w:rFonts w:ascii="Times New Roman" w:hAnsi="Times New Roman" w:cs="Times New Roman"/>
          <w:b/>
          <w:i/>
          <w:sz w:val="24"/>
          <w:szCs w:val="24"/>
        </w:rPr>
        <w:t xml:space="preserve"> v. Singh</w:t>
      </w:r>
      <w:r w:rsidR="00F5017E">
        <w:rPr>
          <w:rStyle w:val="FootnoteReference"/>
          <w:rFonts w:ascii="Times New Roman" w:hAnsi="Times New Roman" w:cs="Times New Roman"/>
          <w:b/>
          <w:i/>
          <w:sz w:val="24"/>
          <w:szCs w:val="24"/>
        </w:rPr>
        <w:footnoteReference w:id="7"/>
      </w:r>
      <w:r>
        <w:rPr>
          <w:rFonts w:ascii="Times New Roman" w:hAnsi="Times New Roman" w:cs="Times New Roman"/>
          <w:b/>
          <w:i/>
          <w:sz w:val="24"/>
          <w:szCs w:val="24"/>
        </w:rPr>
        <w:t>,</w:t>
      </w:r>
      <w:r>
        <w:rPr>
          <w:rFonts w:ascii="Times New Roman" w:hAnsi="Times New Roman" w:cs="Times New Roman"/>
          <w:sz w:val="24"/>
          <w:szCs w:val="24"/>
        </w:rPr>
        <w:t xml:space="preserve"> it was held that a change in the loci </w:t>
      </w:r>
      <w:proofErr w:type="spellStart"/>
      <w:r>
        <w:rPr>
          <w:rFonts w:ascii="Times New Roman" w:hAnsi="Times New Roman" w:cs="Times New Roman"/>
          <w:sz w:val="24"/>
          <w:szCs w:val="24"/>
        </w:rPr>
        <w:t>celebrationis</w:t>
      </w:r>
      <w:proofErr w:type="spellEnd"/>
      <w:r>
        <w:rPr>
          <w:rFonts w:ascii="Times New Roman" w:hAnsi="Times New Roman" w:cs="Times New Roman"/>
          <w:sz w:val="24"/>
          <w:szCs w:val="24"/>
        </w:rPr>
        <w:t xml:space="preserve"> </w:t>
      </w:r>
      <w:r w:rsidR="00707F3F">
        <w:rPr>
          <w:rFonts w:ascii="Times New Roman" w:hAnsi="Times New Roman" w:cs="Times New Roman"/>
          <w:sz w:val="24"/>
          <w:szCs w:val="24"/>
        </w:rPr>
        <w:t xml:space="preserve">can affect the nature of the marriage. This clearly states that the </w:t>
      </w:r>
      <w:r w:rsidR="00707F3F">
        <w:rPr>
          <w:rFonts w:ascii="Times New Roman" w:hAnsi="Times New Roman" w:cs="Times New Roman"/>
          <w:b/>
          <w:i/>
          <w:sz w:val="24"/>
          <w:szCs w:val="24"/>
        </w:rPr>
        <w:t>“</w:t>
      </w:r>
      <w:proofErr w:type="spellStart"/>
      <w:r w:rsidR="00707F3F">
        <w:rPr>
          <w:rFonts w:ascii="Times New Roman" w:hAnsi="Times New Roman" w:cs="Times New Roman"/>
          <w:b/>
          <w:i/>
          <w:sz w:val="24"/>
          <w:szCs w:val="24"/>
        </w:rPr>
        <w:t>lex</w:t>
      </w:r>
      <w:proofErr w:type="spellEnd"/>
      <w:r w:rsidR="00707F3F">
        <w:rPr>
          <w:rFonts w:ascii="Times New Roman" w:hAnsi="Times New Roman" w:cs="Times New Roman"/>
          <w:b/>
          <w:i/>
          <w:sz w:val="24"/>
          <w:szCs w:val="24"/>
        </w:rPr>
        <w:t xml:space="preserve"> loci </w:t>
      </w:r>
      <w:proofErr w:type="spellStart"/>
      <w:r w:rsidR="00707F3F">
        <w:rPr>
          <w:rFonts w:ascii="Times New Roman" w:hAnsi="Times New Roman" w:cs="Times New Roman"/>
          <w:b/>
          <w:i/>
          <w:sz w:val="24"/>
          <w:szCs w:val="24"/>
        </w:rPr>
        <w:t>celebrationis</w:t>
      </w:r>
      <w:proofErr w:type="spellEnd"/>
      <w:r w:rsidR="00707F3F">
        <w:rPr>
          <w:rFonts w:ascii="Times New Roman" w:hAnsi="Times New Roman" w:cs="Times New Roman"/>
          <w:sz w:val="24"/>
          <w:szCs w:val="24"/>
        </w:rPr>
        <w:t>” rule was disregarded in that case.</w:t>
      </w:r>
    </w:p>
    <w:p w:rsidR="00EE1CB5" w:rsidRDefault="00EE1CB5"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of </w:t>
      </w:r>
      <w:proofErr w:type="spellStart"/>
      <w:r>
        <w:rPr>
          <w:rFonts w:ascii="Times New Roman" w:hAnsi="Times New Roman" w:cs="Times New Roman"/>
          <w:b/>
          <w:i/>
          <w:sz w:val="24"/>
          <w:szCs w:val="24"/>
        </w:rPr>
        <w:t>Cheni</w:t>
      </w:r>
      <w:proofErr w:type="spellEnd"/>
      <w:r>
        <w:rPr>
          <w:rFonts w:ascii="Times New Roman" w:hAnsi="Times New Roman" w:cs="Times New Roman"/>
          <w:b/>
          <w:i/>
          <w:sz w:val="24"/>
          <w:szCs w:val="24"/>
        </w:rPr>
        <w:t xml:space="preserve"> v. </w:t>
      </w:r>
      <w:proofErr w:type="spellStart"/>
      <w:r>
        <w:rPr>
          <w:rFonts w:ascii="Times New Roman" w:hAnsi="Times New Roman" w:cs="Times New Roman"/>
          <w:b/>
          <w:i/>
          <w:sz w:val="24"/>
          <w:szCs w:val="24"/>
        </w:rPr>
        <w:t>Cheni</w:t>
      </w:r>
      <w:proofErr w:type="spellEnd"/>
      <w:r w:rsidR="00754205">
        <w:rPr>
          <w:rStyle w:val="FootnoteReference"/>
          <w:rFonts w:ascii="Times New Roman" w:hAnsi="Times New Roman" w:cs="Times New Roman"/>
          <w:b/>
          <w:i/>
          <w:sz w:val="24"/>
          <w:szCs w:val="24"/>
        </w:rPr>
        <w:footnoteReference w:id="8"/>
      </w:r>
      <w:r>
        <w:rPr>
          <w:rFonts w:ascii="Times New Roman" w:hAnsi="Times New Roman" w:cs="Times New Roman"/>
          <w:b/>
          <w:i/>
          <w:sz w:val="24"/>
          <w:szCs w:val="24"/>
        </w:rPr>
        <w:t xml:space="preserve"> </w:t>
      </w:r>
      <w:r>
        <w:rPr>
          <w:rFonts w:ascii="Times New Roman" w:hAnsi="Times New Roman" w:cs="Times New Roman"/>
          <w:sz w:val="24"/>
          <w:szCs w:val="24"/>
        </w:rPr>
        <w:t xml:space="preserve">presents a rather unique problem. In that case, </w:t>
      </w:r>
      <w:r w:rsidR="00BE248E">
        <w:rPr>
          <w:rFonts w:ascii="Times New Roman" w:hAnsi="Times New Roman" w:cs="Times New Roman"/>
          <w:sz w:val="24"/>
          <w:szCs w:val="24"/>
        </w:rPr>
        <w:t xml:space="preserve">the parties had entered into a marriage contract in which the husband was allowed to marry another wife during the subsistence of the first marriage </w:t>
      </w:r>
      <w:r w:rsidR="003972A9">
        <w:rPr>
          <w:rFonts w:ascii="Times New Roman" w:hAnsi="Times New Roman" w:cs="Times New Roman"/>
          <w:sz w:val="24"/>
          <w:szCs w:val="24"/>
        </w:rPr>
        <w:t>if the</w:t>
      </w:r>
      <w:r w:rsidR="00C55389">
        <w:rPr>
          <w:rFonts w:ascii="Times New Roman" w:hAnsi="Times New Roman" w:cs="Times New Roman"/>
          <w:sz w:val="24"/>
          <w:szCs w:val="24"/>
        </w:rPr>
        <w:t xml:space="preserve"> wife could not give birth within a specified period of time. </w:t>
      </w:r>
      <w:r w:rsidR="009B1B24">
        <w:rPr>
          <w:rFonts w:ascii="Times New Roman" w:hAnsi="Times New Roman" w:cs="Times New Roman"/>
          <w:sz w:val="24"/>
          <w:szCs w:val="24"/>
        </w:rPr>
        <w:t>The wife eventually had children and sought relief from the English court</w:t>
      </w:r>
      <w:r w:rsidR="00C13D69">
        <w:rPr>
          <w:rFonts w:ascii="Times New Roman" w:hAnsi="Times New Roman" w:cs="Times New Roman"/>
          <w:sz w:val="24"/>
          <w:szCs w:val="24"/>
        </w:rPr>
        <w:t xml:space="preserve">. </w:t>
      </w:r>
      <w:r w:rsidR="00C13D69">
        <w:rPr>
          <w:rFonts w:ascii="Times New Roman" w:hAnsi="Times New Roman" w:cs="Times New Roman"/>
          <w:b/>
          <w:i/>
          <w:sz w:val="24"/>
          <w:szCs w:val="24"/>
        </w:rPr>
        <w:t xml:space="preserve">Sir Jocelyn </w:t>
      </w:r>
      <w:r w:rsidR="007B73F4">
        <w:rPr>
          <w:rFonts w:ascii="Times New Roman" w:hAnsi="Times New Roman" w:cs="Times New Roman"/>
          <w:b/>
          <w:i/>
          <w:sz w:val="24"/>
          <w:szCs w:val="24"/>
        </w:rPr>
        <w:t xml:space="preserve">Simon </w:t>
      </w:r>
      <w:r w:rsidR="007B73F4">
        <w:rPr>
          <w:rFonts w:ascii="Times New Roman" w:hAnsi="Times New Roman" w:cs="Times New Roman"/>
          <w:sz w:val="24"/>
          <w:szCs w:val="24"/>
        </w:rPr>
        <w:t xml:space="preserve">allowed her petition on the ground that </w:t>
      </w:r>
      <w:r w:rsidR="00016925">
        <w:rPr>
          <w:rFonts w:ascii="Times New Roman" w:hAnsi="Times New Roman" w:cs="Times New Roman"/>
          <w:sz w:val="24"/>
          <w:szCs w:val="24"/>
        </w:rPr>
        <w:t xml:space="preserve">if parties marry </w:t>
      </w:r>
      <w:r w:rsidR="00D721BF">
        <w:rPr>
          <w:rFonts w:ascii="Times New Roman" w:hAnsi="Times New Roman" w:cs="Times New Roman"/>
          <w:sz w:val="24"/>
          <w:szCs w:val="24"/>
        </w:rPr>
        <w:t xml:space="preserve">monogamously, </w:t>
      </w:r>
      <w:r w:rsidR="000473CA">
        <w:rPr>
          <w:rFonts w:ascii="Times New Roman" w:hAnsi="Times New Roman" w:cs="Times New Roman"/>
          <w:sz w:val="24"/>
          <w:szCs w:val="24"/>
        </w:rPr>
        <w:t>the law will readily and reasonably presume that they will not relapse into polygamy.</w:t>
      </w:r>
    </w:p>
    <w:p w:rsidR="00E06AF2" w:rsidRPr="007B73F4" w:rsidRDefault="00E06AF2" w:rsidP="003B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very important to note that according to Dicey, </w:t>
      </w:r>
      <w:r w:rsidR="00621587">
        <w:rPr>
          <w:rFonts w:ascii="Times New Roman" w:hAnsi="Times New Roman" w:cs="Times New Roman"/>
          <w:sz w:val="24"/>
          <w:szCs w:val="24"/>
        </w:rPr>
        <w:t>matrimonial reliefs in these cases</w:t>
      </w:r>
      <w:r w:rsidR="00436DF5">
        <w:rPr>
          <w:rFonts w:ascii="Times New Roman" w:hAnsi="Times New Roman" w:cs="Times New Roman"/>
          <w:sz w:val="24"/>
          <w:szCs w:val="24"/>
        </w:rPr>
        <w:t xml:space="preserve"> of conversion is </w:t>
      </w:r>
      <w:r w:rsidR="00FE6322">
        <w:rPr>
          <w:rFonts w:ascii="Times New Roman" w:hAnsi="Times New Roman" w:cs="Times New Roman"/>
          <w:sz w:val="24"/>
          <w:szCs w:val="24"/>
        </w:rPr>
        <w:t>restricted to instances where the marriage has</w:t>
      </w:r>
      <w:r w:rsidR="006D5855">
        <w:rPr>
          <w:rFonts w:ascii="Times New Roman" w:hAnsi="Times New Roman" w:cs="Times New Roman"/>
          <w:sz w:val="24"/>
          <w:szCs w:val="24"/>
        </w:rPr>
        <w:t xml:space="preserve"> remained merely potentially polygamous </w:t>
      </w:r>
      <w:r w:rsidR="003F24FC">
        <w:rPr>
          <w:rFonts w:ascii="Times New Roman" w:hAnsi="Times New Roman" w:cs="Times New Roman"/>
          <w:sz w:val="24"/>
          <w:szCs w:val="24"/>
        </w:rPr>
        <w:t>and has not actually become polygamous</w:t>
      </w:r>
      <w:r w:rsidR="00F2321C">
        <w:rPr>
          <w:rFonts w:ascii="Times New Roman" w:hAnsi="Times New Roman" w:cs="Times New Roman"/>
          <w:sz w:val="24"/>
          <w:szCs w:val="24"/>
        </w:rPr>
        <w:t>.</w:t>
      </w:r>
    </w:p>
    <w:p w:rsidR="0068771D" w:rsidRDefault="009F1670" w:rsidP="006877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Furthermore, in the case of </w:t>
      </w:r>
      <w:r>
        <w:rPr>
          <w:rFonts w:ascii="Times New Roman" w:hAnsi="Times New Roman" w:cs="Times New Roman"/>
          <w:b/>
          <w:i/>
          <w:sz w:val="24"/>
          <w:szCs w:val="24"/>
        </w:rPr>
        <w:t>Sara v. Sara</w:t>
      </w:r>
      <w:r w:rsidR="003660ED">
        <w:rPr>
          <w:rStyle w:val="FootnoteReference"/>
          <w:rFonts w:ascii="Times New Roman" w:hAnsi="Times New Roman" w:cs="Times New Roman"/>
          <w:b/>
          <w:i/>
          <w:sz w:val="24"/>
          <w:szCs w:val="24"/>
        </w:rPr>
        <w:footnoteReference w:id="9"/>
      </w:r>
      <w:r>
        <w:rPr>
          <w:rFonts w:ascii="Times New Roman" w:hAnsi="Times New Roman" w:cs="Times New Roman"/>
          <w:b/>
          <w:i/>
          <w:sz w:val="24"/>
          <w:szCs w:val="24"/>
        </w:rPr>
        <w:t xml:space="preserve">, </w:t>
      </w:r>
      <w:r w:rsidR="00892AC5">
        <w:rPr>
          <w:rFonts w:ascii="Times New Roman" w:hAnsi="Times New Roman" w:cs="Times New Roman"/>
          <w:sz w:val="24"/>
          <w:szCs w:val="24"/>
        </w:rPr>
        <w:t xml:space="preserve">the wife was domiciled in British Columbia and she married her husband in India in accordance to the </w:t>
      </w:r>
      <w:r w:rsidR="001A580E">
        <w:rPr>
          <w:rFonts w:ascii="Times New Roman" w:hAnsi="Times New Roman" w:cs="Times New Roman"/>
          <w:sz w:val="24"/>
          <w:szCs w:val="24"/>
        </w:rPr>
        <w:t xml:space="preserve">Hindu ceremony of marriage which permitted polygamy. The husband subsequently moved to British Columbia and acquired a domicile. He then </w:t>
      </w:r>
      <w:r w:rsidR="00955C48">
        <w:rPr>
          <w:rFonts w:ascii="Times New Roman" w:hAnsi="Times New Roman" w:cs="Times New Roman"/>
          <w:sz w:val="24"/>
          <w:szCs w:val="24"/>
        </w:rPr>
        <w:t xml:space="preserve">sought a declaration that he was not a married person </w:t>
      </w:r>
      <w:r w:rsidR="0070127B">
        <w:rPr>
          <w:rFonts w:ascii="Times New Roman" w:hAnsi="Times New Roman" w:cs="Times New Roman"/>
          <w:sz w:val="24"/>
          <w:szCs w:val="24"/>
        </w:rPr>
        <w:t xml:space="preserve">within the meaning of the law of British Columbia on the ground that </w:t>
      </w:r>
      <w:r w:rsidR="00EC137F">
        <w:rPr>
          <w:rFonts w:ascii="Times New Roman" w:hAnsi="Times New Roman" w:cs="Times New Roman"/>
          <w:sz w:val="24"/>
          <w:szCs w:val="24"/>
        </w:rPr>
        <w:t xml:space="preserve">the marriage was polygamous. The wife counter-claimed on the ground that the marriage was </w:t>
      </w:r>
      <w:r w:rsidR="004C32EF">
        <w:rPr>
          <w:rFonts w:ascii="Times New Roman" w:hAnsi="Times New Roman" w:cs="Times New Roman"/>
          <w:sz w:val="24"/>
          <w:szCs w:val="24"/>
        </w:rPr>
        <w:t xml:space="preserve">valid. </w:t>
      </w:r>
    </w:p>
    <w:p w:rsidR="00F1551D" w:rsidRDefault="00E85E41" w:rsidP="0068771D">
      <w:p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Lord J., </w:t>
      </w:r>
      <w:r>
        <w:rPr>
          <w:rFonts w:ascii="Times New Roman" w:hAnsi="Times New Roman" w:cs="Times New Roman"/>
          <w:sz w:val="24"/>
          <w:szCs w:val="24"/>
        </w:rPr>
        <w:t xml:space="preserve">dismissed the application of the husband and made the declaration sought by the wife </w:t>
      </w:r>
      <w:r w:rsidR="00007158">
        <w:rPr>
          <w:rFonts w:ascii="Times New Roman" w:hAnsi="Times New Roman" w:cs="Times New Roman"/>
          <w:sz w:val="24"/>
          <w:szCs w:val="24"/>
        </w:rPr>
        <w:t>and based his decision on two factors;</w:t>
      </w:r>
    </w:p>
    <w:p w:rsidR="00007158" w:rsidRDefault="00EE3047" w:rsidP="0000715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Acquisition by the husband of a domicile of choice in British Columbia</w:t>
      </w:r>
      <w:r w:rsidR="00F95F65">
        <w:rPr>
          <w:rFonts w:ascii="Times New Roman" w:hAnsi="Times New Roman" w:cs="Times New Roman"/>
          <w:sz w:val="24"/>
          <w:szCs w:val="24"/>
        </w:rPr>
        <w:t>.</w:t>
      </w:r>
    </w:p>
    <w:p w:rsidR="00F95F65" w:rsidRPr="00007158" w:rsidRDefault="00F95F65" w:rsidP="0000715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fact that</w:t>
      </w:r>
      <w:r w:rsidR="00505FEF">
        <w:rPr>
          <w:rFonts w:ascii="Times New Roman" w:hAnsi="Times New Roman" w:cs="Times New Roman"/>
          <w:sz w:val="24"/>
          <w:szCs w:val="24"/>
        </w:rPr>
        <w:t xml:space="preserve"> subsequent to the marriage, </w:t>
      </w:r>
      <w:r w:rsidR="00A970B5">
        <w:rPr>
          <w:rFonts w:ascii="Times New Roman" w:hAnsi="Times New Roman" w:cs="Times New Roman"/>
          <w:sz w:val="24"/>
          <w:szCs w:val="24"/>
        </w:rPr>
        <w:t xml:space="preserve">polygamy between Hindus in India was abolished </w:t>
      </w:r>
      <w:r w:rsidR="005211D1">
        <w:rPr>
          <w:rFonts w:ascii="Times New Roman" w:hAnsi="Times New Roman" w:cs="Times New Roman"/>
          <w:sz w:val="24"/>
          <w:szCs w:val="24"/>
        </w:rPr>
        <w:t xml:space="preserve">by the </w:t>
      </w:r>
      <w:r w:rsidR="005211D1">
        <w:rPr>
          <w:rFonts w:ascii="Times New Roman" w:hAnsi="Times New Roman" w:cs="Times New Roman"/>
          <w:b/>
          <w:i/>
          <w:sz w:val="24"/>
          <w:szCs w:val="24"/>
        </w:rPr>
        <w:t xml:space="preserve">Hindu Marriage Act, 1955. </w:t>
      </w:r>
    </w:p>
    <w:sectPr w:rsidR="00F95F65" w:rsidRPr="000071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5E" w:rsidRDefault="00B6625E" w:rsidP="00D2615B">
      <w:pPr>
        <w:spacing w:after="0" w:line="240" w:lineRule="auto"/>
      </w:pPr>
      <w:r>
        <w:separator/>
      </w:r>
    </w:p>
  </w:endnote>
  <w:endnote w:type="continuationSeparator" w:id="0">
    <w:p w:rsidR="00B6625E" w:rsidRDefault="00B6625E" w:rsidP="00D2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5E" w:rsidRDefault="00B6625E" w:rsidP="00D2615B">
      <w:pPr>
        <w:spacing w:after="0" w:line="240" w:lineRule="auto"/>
      </w:pPr>
      <w:r>
        <w:separator/>
      </w:r>
    </w:p>
  </w:footnote>
  <w:footnote w:type="continuationSeparator" w:id="0">
    <w:p w:rsidR="00B6625E" w:rsidRDefault="00B6625E" w:rsidP="00D2615B">
      <w:pPr>
        <w:spacing w:after="0" w:line="240" w:lineRule="auto"/>
      </w:pPr>
      <w:r>
        <w:continuationSeparator/>
      </w:r>
    </w:p>
  </w:footnote>
  <w:footnote w:id="1">
    <w:p w:rsidR="002A1AA9" w:rsidRDefault="003003D2">
      <w:pPr>
        <w:pStyle w:val="FootnoteText"/>
        <w:rPr>
          <w:rStyle w:val="Hyperlink"/>
        </w:rPr>
      </w:pPr>
      <w:r>
        <w:rPr>
          <w:rStyle w:val="FootnoteReference"/>
        </w:rPr>
        <w:footnoteRef/>
      </w:r>
      <w:r>
        <w:t xml:space="preserve"> </w:t>
      </w:r>
      <w:hyperlink r:id="rId1" w:history="1">
        <w:r w:rsidR="002A1AA9" w:rsidRPr="00E73FC1">
          <w:rPr>
            <w:rStyle w:val="Hyperlink"/>
          </w:rPr>
          <w:t>http://brophysolicitors.ie/limping-marriages-eu-divorces/</w:t>
        </w:r>
      </w:hyperlink>
    </w:p>
    <w:p w:rsidR="004F03F6" w:rsidRDefault="004F03F6">
      <w:pPr>
        <w:pStyle w:val="FootnoteText"/>
      </w:pPr>
    </w:p>
  </w:footnote>
  <w:footnote w:id="2">
    <w:p w:rsidR="00EC6434" w:rsidRDefault="007B0991">
      <w:pPr>
        <w:pStyle w:val="FootnoteText"/>
      </w:pPr>
      <w:r>
        <w:rPr>
          <w:rStyle w:val="FootnoteReference"/>
        </w:rPr>
        <w:footnoteRef/>
      </w:r>
      <w:r>
        <w:t xml:space="preserve"> </w:t>
      </w:r>
      <w:r w:rsidR="00EC6434">
        <w:t>(1968) P. 314</w:t>
      </w:r>
    </w:p>
    <w:p w:rsidR="00EC6434" w:rsidRDefault="00EC6434">
      <w:pPr>
        <w:pStyle w:val="FootnoteText"/>
      </w:pPr>
    </w:p>
  </w:footnote>
  <w:footnote w:id="3">
    <w:p w:rsidR="0001230E" w:rsidRDefault="0001230E">
      <w:pPr>
        <w:pStyle w:val="FootnoteText"/>
      </w:pPr>
      <w:r>
        <w:rPr>
          <w:rStyle w:val="FootnoteReference"/>
        </w:rPr>
        <w:footnoteRef/>
      </w:r>
      <w:r>
        <w:t xml:space="preserve"> </w:t>
      </w:r>
      <w:r w:rsidR="004F03F6">
        <w:t>(1969) 1 A.C. 53</w:t>
      </w:r>
    </w:p>
  </w:footnote>
  <w:footnote w:id="4">
    <w:p w:rsidR="00D47FB6" w:rsidRDefault="00D47FB6">
      <w:pPr>
        <w:pStyle w:val="FootnoteText"/>
      </w:pPr>
      <w:r>
        <w:rPr>
          <w:rStyle w:val="FootnoteReference"/>
        </w:rPr>
        <w:footnoteRef/>
      </w:r>
      <w:r>
        <w:t xml:space="preserve"> </w:t>
      </w:r>
      <w:r w:rsidR="00BE4C94">
        <w:t>(1866)</w:t>
      </w:r>
      <w:r w:rsidR="006B7E94">
        <w:t xml:space="preserve"> L.R. 1 P.&amp;D.</w:t>
      </w:r>
      <w:r w:rsidR="00293905">
        <w:t xml:space="preserve"> 130</w:t>
      </w:r>
    </w:p>
  </w:footnote>
  <w:footnote w:id="5">
    <w:p w:rsidR="00293905" w:rsidRDefault="00293905">
      <w:pPr>
        <w:pStyle w:val="FootnoteText"/>
      </w:pPr>
      <w:r>
        <w:rPr>
          <w:rStyle w:val="FootnoteReference"/>
        </w:rPr>
        <w:footnoteRef/>
      </w:r>
      <w:r>
        <w:t xml:space="preserve"> </w:t>
      </w:r>
      <w:r w:rsidR="00BD31E3">
        <w:t>(1961) P. 70 C.A</w:t>
      </w:r>
    </w:p>
  </w:footnote>
  <w:footnote w:id="6">
    <w:p w:rsidR="00BD31E3" w:rsidRDefault="00BD31E3">
      <w:pPr>
        <w:pStyle w:val="FootnoteText"/>
      </w:pPr>
      <w:r>
        <w:rPr>
          <w:rStyle w:val="FootnoteReference"/>
        </w:rPr>
        <w:footnoteRef/>
      </w:r>
      <w:r>
        <w:t xml:space="preserve"> </w:t>
      </w:r>
      <w:r w:rsidR="00D42C04">
        <w:t xml:space="preserve">Reported as an appendix to </w:t>
      </w:r>
      <w:proofErr w:type="spellStart"/>
      <w:r w:rsidR="00D42C04">
        <w:t>Baindail</w:t>
      </w:r>
      <w:proofErr w:type="spellEnd"/>
      <w:r w:rsidR="00D42C04">
        <w:t xml:space="preserve"> v. </w:t>
      </w:r>
      <w:proofErr w:type="spellStart"/>
      <w:r w:rsidR="00D42C04">
        <w:t>Baindail</w:t>
      </w:r>
      <w:proofErr w:type="spellEnd"/>
      <w:r w:rsidR="00D42C04">
        <w:t xml:space="preserve"> </w:t>
      </w:r>
      <w:r w:rsidR="00CB4CDA">
        <w:t>(1946) 1 All E.R. 342</w:t>
      </w:r>
    </w:p>
  </w:footnote>
  <w:footnote w:id="7">
    <w:p w:rsidR="00F5017E" w:rsidRDefault="00F5017E">
      <w:pPr>
        <w:pStyle w:val="FootnoteText"/>
      </w:pPr>
      <w:r>
        <w:rPr>
          <w:rStyle w:val="FootnoteReference"/>
        </w:rPr>
        <w:footnoteRef/>
      </w:r>
      <w:r>
        <w:t xml:space="preserve"> (1967) 2 W.L.R.</w:t>
      </w:r>
      <w:r w:rsidR="00754205">
        <w:t xml:space="preserve"> 946</w:t>
      </w:r>
    </w:p>
  </w:footnote>
  <w:footnote w:id="8">
    <w:p w:rsidR="00754205" w:rsidRDefault="00754205">
      <w:pPr>
        <w:pStyle w:val="FootnoteText"/>
      </w:pPr>
      <w:r>
        <w:rPr>
          <w:rStyle w:val="FootnoteReference"/>
        </w:rPr>
        <w:footnoteRef/>
      </w:r>
      <w:r>
        <w:t xml:space="preserve"> </w:t>
      </w:r>
      <w:r w:rsidR="00DE44B7">
        <w:t>(1962) 3 All E.R.</w:t>
      </w:r>
      <w:r w:rsidR="00791B98">
        <w:t xml:space="preserve"> 873</w:t>
      </w:r>
    </w:p>
  </w:footnote>
  <w:footnote w:id="9">
    <w:p w:rsidR="003660ED" w:rsidRDefault="003660ED">
      <w:pPr>
        <w:pStyle w:val="FootnoteText"/>
      </w:pPr>
      <w:r>
        <w:rPr>
          <w:rStyle w:val="FootnoteReference"/>
        </w:rPr>
        <w:footnoteRef/>
      </w:r>
      <w:r w:rsidR="00F8051D">
        <w:t xml:space="preserve"> (1962) 31 D.L.R.</w:t>
      </w:r>
      <w:r w:rsidR="00E40078">
        <w:t xml:space="preserve"> (2d) 566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4D6"/>
    <w:multiLevelType w:val="hybridMultilevel"/>
    <w:tmpl w:val="797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5B25"/>
    <w:multiLevelType w:val="hybridMultilevel"/>
    <w:tmpl w:val="DEFE6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3A"/>
    <w:rsid w:val="00007158"/>
    <w:rsid w:val="00011B32"/>
    <w:rsid w:val="0001230E"/>
    <w:rsid w:val="00016925"/>
    <w:rsid w:val="00037832"/>
    <w:rsid w:val="000473CA"/>
    <w:rsid w:val="00053656"/>
    <w:rsid w:val="00060441"/>
    <w:rsid w:val="00063A06"/>
    <w:rsid w:val="00065982"/>
    <w:rsid w:val="00071EBB"/>
    <w:rsid w:val="0008614E"/>
    <w:rsid w:val="000919D4"/>
    <w:rsid w:val="00093E38"/>
    <w:rsid w:val="0013281D"/>
    <w:rsid w:val="00157036"/>
    <w:rsid w:val="00162C46"/>
    <w:rsid w:val="00175B5A"/>
    <w:rsid w:val="001A580E"/>
    <w:rsid w:val="001A7EC8"/>
    <w:rsid w:val="001E723A"/>
    <w:rsid w:val="0024638E"/>
    <w:rsid w:val="002610CB"/>
    <w:rsid w:val="00276E00"/>
    <w:rsid w:val="00280C63"/>
    <w:rsid w:val="00293905"/>
    <w:rsid w:val="002A1AA9"/>
    <w:rsid w:val="002A3326"/>
    <w:rsid w:val="002A3CE7"/>
    <w:rsid w:val="002B6247"/>
    <w:rsid w:val="003003D2"/>
    <w:rsid w:val="00333928"/>
    <w:rsid w:val="003660ED"/>
    <w:rsid w:val="00385348"/>
    <w:rsid w:val="00387AB8"/>
    <w:rsid w:val="003972A9"/>
    <w:rsid w:val="003B15C7"/>
    <w:rsid w:val="003D2095"/>
    <w:rsid w:val="003D3657"/>
    <w:rsid w:val="003F24FC"/>
    <w:rsid w:val="003F290E"/>
    <w:rsid w:val="0042004E"/>
    <w:rsid w:val="004246C0"/>
    <w:rsid w:val="0042602C"/>
    <w:rsid w:val="00436DF5"/>
    <w:rsid w:val="00442CD5"/>
    <w:rsid w:val="0046730A"/>
    <w:rsid w:val="00470A76"/>
    <w:rsid w:val="00486C5D"/>
    <w:rsid w:val="004A2F69"/>
    <w:rsid w:val="004C1EFE"/>
    <w:rsid w:val="004C32EF"/>
    <w:rsid w:val="004F03F6"/>
    <w:rsid w:val="004F71B0"/>
    <w:rsid w:val="00505FEF"/>
    <w:rsid w:val="00510EEE"/>
    <w:rsid w:val="005211D1"/>
    <w:rsid w:val="00555014"/>
    <w:rsid w:val="00566523"/>
    <w:rsid w:val="005A1CBD"/>
    <w:rsid w:val="005E0DAD"/>
    <w:rsid w:val="005F3CC3"/>
    <w:rsid w:val="00621587"/>
    <w:rsid w:val="00664179"/>
    <w:rsid w:val="00680511"/>
    <w:rsid w:val="0068771D"/>
    <w:rsid w:val="00695EFE"/>
    <w:rsid w:val="006B7E94"/>
    <w:rsid w:val="006D5855"/>
    <w:rsid w:val="006E4DEC"/>
    <w:rsid w:val="0070127B"/>
    <w:rsid w:val="00707F3F"/>
    <w:rsid w:val="00726C49"/>
    <w:rsid w:val="007404F9"/>
    <w:rsid w:val="00754205"/>
    <w:rsid w:val="00780560"/>
    <w:rsid w:val="00791B98"/>
    <w:rsid w:val="007B0991"/>
    <w:rsid w:val="007B2E0E"/>
    <w:rsid w:val="007B73F4"/>
    <w:rsid w:val="007C4657"/>
    <w:rsid w:val="007E6755"/>
    <w:rsid w:val="00820E74"/>
    <w:rsid w:val="0086398E"/>
    <w:rsid w:val="00864CAC"/>
    <w:rsid w:val="00871C0A"/>
    <w:rsid w:val="00883F2F"/>
    <w:rsid w:val="00892AC5"/>
    <w:rsid w:val="00942FD3"/>
    <w:rsid w:val="00955C48"/>
    <w:rsid w:val="009809D5"/>
    <w:rsid w:val="009B1B24"/>
    <w:rsid w:val="009E1552"/>
    <w:rsid w:val="009F1670"/>
    <w:rsid w:val="00A27DC9"/>
    <w:rsid w:val="00A970B5"/>
    <w:rsid w:val="00AB3B0F"/>
    <w:rsid w:val="00AB554A"/>
    <w:rsid w:val="00AE263D"/>
    <w:rsid w:val="00B02E5A"/>
    <w:rsid w:val="00B36652"/>
    <w:rsid w:val="00B4152F"/>
    <w:rsid w:val="00B6625E"/>
    <w:rsid w:val="00B67F02"/>
    <w:rsid w:val="00BA4646"/>
    <w:rsid w:val="00BB7CC9"/>
    <w:rsid w:val="00BC0DEA"/>
    <w:rsid w:val="00BD31E3"/>
    <w:rsid w:val="00BE248E"/>
    <w:rsid w:val="00BE4C94"/>
    <w:rsid w:val="00C04C75"/>
    <w:rsid w:val="00C13D69"/>
    <w:rsid w:val="00C30B9A"/>
    <w:rsid w:val="00C44A3C"/>
    <w:rsid w:val="00C55389"/>
    <w:rsid w:val="00C616E9"/>
    <w:rsid w:val="00C74B1F"/>
    <w:rsid w:val="00CB1226"/>
    <w:rsid w:val="00CB4CDA"/>
    <w:rsid w:val="00CF0801"/>
    <w:rsid w:val="00D24EFB"/>
    <w:rsid w:val="00D2615B"/>
    <w:rsid w:val="00D35C1F"/>
    <w:rsid w:val="00D42C04"/>
    <w:rsid w:val="00D47FB6"/>
    <w:rsid w:val="00D721BF"/>
    <w:rsid w:val="00DE1F3E"/>
    <w:rsid w:val="00DE44B7"/>
    <w:rsid w:val="00E0129A"/>
    <w:rsid w:val="00E06AF2"/>
    <w:rsid w:val="00E16722"/>
    <w:rsid w:val="00E23E99"/>
    <w:rsid w:val="00E40078"/>
    <w:rsid w:val="00E85E41"/>
    <w:rsid w:val="00E863A8"/>
    <w:rsid w:val="00EC137F"/>
    <w:rsid w:val="00EC6434"/>
    <w:rsid w:val="00EE1052"/>
    <w:rsid w:val="00EE1CB5"/>
    <w:rsid w:val="00EE3047"/>
    <w:rsid w:val="00EE4839"/>
    <w:rsid w:val="00F1551D"/>
    <w:rsid w:val="00F2182E"/>
    <w:rsid w:val="00F2321C"/>
    <w:rsid w:val="00F279E4"/>
    <w:rsid w:val="00F44827"/>
    <w:rsid w:val="00F5017E"/>
    <w:rsid w:val="00F76B11"/>
    <w:rsid w:val="00F8051D"/>
    <w:rsid w:val="00F8791F"/>
    <w:rsid w:val="00F95F65"/>
    <w:rsid w:val="00FC563E"/>
    <w:rsid w:val="00FE6322"/>
    <w:rsid w:val="00FF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7596B0"/>
  <w15:chartTrackingRefBased/>
  <w15:docId w15:val="{A67AF4AD-F7AE-0341-939F-5BD4863D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00"/>
    <w:pPr>
      <w:ind w:left="720"/>
      <w:contextualSpacing/>
    </w:pPr>
  </w:style>
  <w:style w:type="paragraph" w:styleId="Header">
    <w:name w:val="header"/>
    <w:basedOn w:val="Normal"/>
    <w:link w:val="HeaderChar"/>
    <w:uiPriority w:val="99"/>
    <w:unhideWhenUsed/>
    <w:rsid w:val="00D26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5B"/>
  </w:style>
  <w:style w:type="paragraph" w:styleId="Footer">
    <w:name w:val="footer"/>
    <w:basedOn w:val="Normal"/>
    <w:link w:val="FooterChar"/>
    <w:uiPriority w:val="99"/>
    <w:unhideWhenUsed/>
    <w:rsid w:val="00D26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5B"/>
  </w:style>
  <w:style w:type="paragraph" w:styleId="FootnoteText">
    <w:name w:val="footnote text"/>
    <w:basedOn w:val="Normal"/>
    <w:link w:val="FootnoteTextChar"/>
    <w:uiPriority w:val="99"/>
    <w:semiHidden/>
    <w:unhideWhenUsed/>
    <w:rsid w:val="0030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3D2"/>
    <w:rPr>
      <w:sz w:val="20"/>
      <w:szCs w:val="20"/>
    </w:rPr>
  </w:style>
  <w:style w:type="character" w:styleId="FootnoteReference">
    <w:name w:val="footnote reference"/>
    <w:basedOn w:val="DefaultParagraphFont"/>
    <w:uiPriority w:val="99"/>
    <w:semiHidden/>
    <w:unhideWhenUsed/>
    <w:rsid w:val="003003D2"/>
    <w:rPr>
      <w:vertAlign w:val="superscript"/>
    </w:rPr>
  </w:style>
  <w:style w:type="character" w:styleId="Hyperlink">
    <w:name w:val="Hyperlink"/>
    <w:basedOn w:val="DefaultParagraphFont"/>
    <w:uiPriority w:val="99"/>
    <w:unhideWhenUsed/>
    <w:rsid w:val="002A1AA9"/>
    <w:rPr>
      <w:color w:val="0563C1" w:themeColor="hyperlink"/>
      <w:u w:val="single"/>
    </w:rPr>
  </w:style>
  <w:style w:type="character" w:styleId="UnresolvedMention">
    <w:name w:val="Unresolved Mention"/>
    <w:basedOn w:val="DefaultParagraphFont"/>
    <w:uiPriority w:val="99"/>
    <w:semiHidden/>
    <w:unhideWhenUsed/>
    <w:rsid w:val="002A1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_rels/footnotes.xml.rels><?xml version="1.0" encoding="UTF-8" standalone="yes"?>
<Relationships xmlns="http://schemas.openxmlformats.org/package/2006/relationships"><Relationship Id="rId1" Type="http://schemas.openxmlformats.org/officeDocument/2006/relationships/hyperlink" Target="http://brophysolicitors.ie/limping-marriages-eu-divo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stephsamuel0@gmail.com</dc:creator>
  <cp:keywords/>
  <dc:description/>
  <cp:lastModifiedBy>stephsamuel0@gmail.com</cp:lastModifiedBy>
  <cp:revision>2</cp:revision>
  <dcterms:created xsi:type="dcterms:W3CDTF">2020-05-08T18:25:00Z</dcterms:created>
  <dcterms:modified xsi:type="dcterms:W3CDTF">2020-05-08T18:25:00Z</dcterms:modified>
</cp:coreProperties>
</file>