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OLOWOOFOYEKU OLAMIDE</w:t>
      </w:r>
    </w:p>
    <w:p>
      <w:p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LAW OF TORT</w:t>
      </w:r>
    </w:p>
    <w:p>
      <w:p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17/LAW01/226</w:t>
      </w:r>
    </w:p>
    <w:p>
      <w:pPr>
        <w:bidi w:val="0"/>
        <w:spacing w:line="360" w:lineRule="auto"/>
        <w:jc w:val="both"/>
        <w:rPr>
          <w:rFonts w:hint="default" w:ascii="Times New Roman" w:hAnsi="Times New Roman" w:cs="Times New Roman"/>
          <w:color w:val="auto"/>
          <w:sz w:val="24"/>
          <w:szCs w:val="24"/>
          <w:lang w:val="en-GB"/>
        </w:rPr>
      </w:pPr>
    </w:p>
    <w:p>
      <w:p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Discuss the relevance of Passing Off as a form of Economic Torts in the 21st Centur</w:t>
      </w:r>
      <w:r>
        <w:rPr>
          <w:rFonts w:hint="default" w:ascii="Times New Roman" w:hAnsi="Times New Roman" w:cs="Times New Roman"/>
          <w:color w:val="auto"/>
          <w:sz w:val="24"/>
          <w:szCs w:val="24"/>
          <w:lang w:val="en-GB"/>
        </w:rPr>
        <w:t xml:space="preserve">y </w:t>
      </w:r>
      <w:r>
        <w:rPr>
          <w:rFonts w:hint="default" w:ascii="Times New Roman" w:hAnsi="Times New Roman" w:cs="Times New Roman"/>
          <w:color w:val="auto"/>
          <w:sz w:val="24"/>
          <w:szCs w:val="24"/>
        </w:rPr>
        <w:t>Nigeria.</w:t>
      </w:r>
    </w:p>
    <w:p>
      <w:pPr>
        <w:bidi w:val="0"/>
        <w:spacing w:line="360" w:lineRule="auto"/>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ECONOMIC TORTS</w:t>
      </w:r>
    </w:p>
    <w:p>
      <w:p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Economic torts</w:t>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rPr>
        <w:t xml:space="preserve">are also called business torts, </w:t>
      </w:r>
      <w:r>
        <w:rPr>
          <w:rFonts w:hint="default" w:ascii="Times New Roman" w:hAnsi="Times New Roman" w:cs="Times New Roman"/>
          <w:color w:val="auto"/>
          <w:sz w:val="24"/>
          <w:szCs w:val="24"/>
          <w:lang w:val="en-GB"/>
        </w:rPr>
        <w:t xml:space="preserve">they are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"https://en.wikipedia.org/wiki/Tort" \o "Tort" </w:instrText>
      </w:r>
      <w:r>
        <w:rPr>
          <w:rFonts w:hint="default" w:ascii="Times New Roman" w:hAnsi="Times New Roman" w:cs="Times New Roman"/>
          <w:color w:val="auto"/>
          <w:sz w:val="24"/>
          <w:szCs w:val="24"/>
        </w:rPr>
        <w:fldChar w:fldCharType="separate"/>
      </w:r>
      <w:r>
        <w:rPr>
          <w:rStyle w:val="8"/>
          <w:rFonts w:hint="default" w:ascii="Times New Roman" w:hAnsi="Times New Roman" w:eastAsia="sans-serif" w:cs="Times New Roman"/>
          <w:i w:val="0"/>
          <w:caps w:val="0"/>
          <w:color w:val="auto"/>
          <w:spacing w:val="0"/>
          <w:sz w:val="24"/>
          <w:szCs w:val="24"/>
          <w:u w:val="none"/>
        </w:rPr>
        <w:t>torts</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that provide the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"https://en.wikipedia.org/wiki/Common_law" \o "Common law" </w:instrText>
      </w:r>
      <w:r>
        <w:rPr>
          <w:rFonts w:hint="default" w:ascii="Times New Roman" w:hAnsi="Times New Roman" w:cs="Times New Roman"/>
          <w:color w:val="auto"/>
          <w:sz w:val="24"/>
          <w:szCs w:val="24"/>
        </w:rPr>
        <w:fldChar w:fldCharType="separate"/>
      </w:r>
      <w:r>
        <w:rPr>
          <w:rStyle w:val="8"/>
          <w:rFonts w:hint="default" w:ascii="Times New Roman" w:hAnsi="Times New Roman" w:eastAsia="sans-serif" w:cs="Times New Roman"/>
          <w:i w:val="0"/>
          <w:caps w:val="0"/>
          <w:color w:val="auto"/>
          <w:spacing w:val="0"/>
          <w:sz w:val="24"/>
          <w:szCs w:val="24"/>
          <w:u w:val="none"/>
        </w:rPr>
        <w:t>common law</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rules on liability which arise out of business transactions such as interference with economic or business relationships and are likely to involve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"https://en.wikipedia.org/wiki/Pure_economic_loss" \o "Pure economic loss" </w:instrText>
      </w:r>
      <w:r>
        <w:rPr>
          <w:rFonts w:hint="default" w:ascii="Times New Roman" w:hAnsi="Times New Roman" w:cs="Times New Roman"/>
          <w:color w:val="auto"/>
          <w:sz w:val="24"/>
          <w:szCs w:val="24"/>
        </w:rPr>
        <w:fldChar w:fldCharType="separate"/>
      </w:r>
      <w:r>
        <w:rPr>
          <w:rStyle w:val="8"/>
          <w:rFonts w:hint="default" w:ascii="Times New Roman" w:hAnsi="Times New Roman" w:eastAsia="sans-serif" w:cs="Times New Roman"/>
          <w:i w:val="0"/>
          <w:caps w:val="0"/>
          <w:color w:val="auto"/>
          <w:spacing w:val="0"/>
          <w:sz w:val="24"/>
          <w:szCs w:val="24"/>
          <w:u w:val="none"/>
        </w:rPr>
        <w:t>pure economic loss</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p>
    <w:p>
      <w:p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rPr>
        <w:t>Economic torts offer protection for a person’s trade or business from acts which the law considers to be unacceptable.</w:t>
      </w:r>
      <w:r>
        <w:rPr>
          <w:rFonts w:hint="default" w:ascii="Times New Roman" w:hAnsi="Times New Roman" w:cs="Times New Roman"/>
          <w:color w:val="auto"/>
          <w:sz w:val="24"/>
          <w:szCs w:val="24"/>
          <w:lang w:val="en-GB"/>
        </w:rPr>
        <w:t xml:space="preserve"> </w:t>
      </w:r>
    </w:p>
    <w:p>
      <w:p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GB"/>
        </w:rPr>
        <w:t>T</w:t>
      </w:r>
      <w:r>
        <w:rPr>
          <w:rFonts w:hint="default" w:ascii="Times New Roman" w:hAnsi="Times New Roman" w:cs="Times New Roman"/>
          <w:color w:val="auto"/>
          <w:sz w:val="24"/>
          <w:szCs w:val="24"/>
        </w:rPr>
        <w:t>he economic torts seek to ensure that businesses are protected from acts of unacceptable interference.</w:t>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rPr>
        <w:t>Economic torts are torts which inflict economic losses. They are torts which inflict financial losses or financial injury.</w:t>
      </w:r>
    </w:p>
    <w:p>
      <w:p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Economic torts include:</w:t>
      </w:r>
    </w:p>
    <w:p>
      <w:pPr>
        <w:numPr>
          <w:ilvl w:val="0"/>
          <w:numId w:val="1"/>
        </w:num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Injurious</w:t>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rPr>
        <w:t>/Malicious falsehood</w:t>
      </w:r>
    </w:p>
    <w:p>
      <w:pPr>
        <w:numPr>
          <w:ilvl w:val="0"/>
          <w:numId w:val="1"/>
        </w:num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Passing off</w:t>
      </w:r>
    </w:p>
    <w:p>
      <w:pPr>
        <w:numPr>
          <w:ilvl w:val="0"/>
          <w:numId w:val="1"/>
        </w:num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Breach of intellectual property rights</w:t>
      </w:r>
    </w:p>
    <w:p>
      <w:pPr>
        <w:numPr>
          <w:ilvl w:val="0"/>
          <w:numId w:val="1"/>
        </w:num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Conspiracy to interfere</w:t>
      </w:r>
      <w:r>
        <w:rPr>
          <w:rFonts w:hint="default" w:ascii="Times New Roman" w:hAnsi="Times New Roman" w:cs="Times New Roman"/>
          <w:color w:val="auto"/>
          <w:sz w:val="24"/>
          <w:szCs w:val="24"/>
          <w:lang w:val="en-GB"/>
        </w:rPr>
        <w:t xml:space="preserve"> </w:t>
      </w:r>
    </w:p>
    <w:p>
      <w:pPr>
        <w:numPr>
          <w:ilvl w:val="0"/>
          <w:numId w:val="1"/>
        </w:num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Interference with contracts</w:t>
      </w:r>
    </w:p>
    <w:p>
      <w:pPr>
        <w:bidi w:val="0"/>
        <w:spacing w:line="360" w:lineRule="auto"/>
        <w:jc w:val="both"/>
        <w:rPr>
          <w:rFonts w:hint="default" w:ascii="Times New Roman" w:hAnsi="Times New Roman" w:cs="Times New Roman"/>
          <w:color w:val="auto"/>
          <w:sz w:val="24"/>
          <w:szCs w:val="24"/>
          <w:lang w:val="en-US" w:eastAsia="zh-CN"/>
        </w:rPr>
      </w:pPr>
    </w:p>
    <w:p>
      <w:pPr>
        <w:bidi w:val="0"/>
        <w:spacing w:line="36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PASSING OFF</w:t>
      </w:r>
    </w:p>
    <w:p>
      <w:pPr>
        <w:bidi w:val="0"/>
        <w:spacing w:line="360" w:lineRule="auto"/>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lang w:val="en-US" w:eastAsia="zh-CN"/>
        </w:rPr>
        <w:t xml:space="preserve">MEANING </w:t>
      </w:r>
    </w:p>
    <w:p>
      <w:pPr>
        <w:bidi w:val="0"/>
        <w:spacing w:line="360" w:lineRule="auto"/>
        <w:jc w:val="both"/>
        <w:rPr>
          <w:rFonts w:hint="default" w:ascii="Times New Roman" w:hAnsi="Times New Roman" w:cs="Times New Roman"/>
          <w:color w:val="auto"/>
          <w:sz w:val="24"/>
          <w:szCs w:val="24"/>
          <w:lang w:val="en-GB" w:eastAsia="zh-CN"/>
        </w:rPr>
      </w:pPr>
      <w:r>
        <w:rPr>
          <w:rFonts w:hint="default" w:ascii="Times New Roman" w:hAnsi="Times New Roman" w:cs="Times New Roman"/>
          <w:color w:val="auto"/>
          <w:sz w:val="24"/>
          <w:szCs w:val="24"/>
          <w:lang w:val="en-US" w:eastAsia="zh-CN"/>
        </w:rPr>
        <w:t>The tort of passing off applies where there is a representation that a person’s goods or services are those of someone else.</w:t>
      </w:r>
      <w:r>
        <w:rPr>
          <w:rStyle w:val="7"/>
          <w:rFonts w:hint="default" w:ascii="Times New Roman" w:hAnsi="Times New Roman" w:eastAsia="Arial" w:cs="Times New Roman"/>
          <w:b w:val="0"/>
          <w:i w:val="0"/>
          <w:caps w:val="0"/>
          <w:color w:val="auto"/>
          <w:spacing w:val="0"/>
          <w:kern w:val="0"/>
          <w:sz w:val="24"/>
          <w:szCs w:val="24"/>
          <w:u w:val="none"/>
          <w:lang w:val="en-US" w:eastAsia="zh-CN" w:bidi="ar"/>
        </w:rPr>
        <w:footnoteReference w:id="0"/>
      </w:r>
      <w:r>
        <w:rPr>
          <w:rFonts w:hint="default" w:ascii="Times New Roman" w:hAnsi="Times New Roman" w:cs="Times New Roman"/>
          <w:color w:val="auto"/>
          <w:sz w:val="24"/>
          <w:szCs w:val="24"/>
          <w:lang w:val="en-GB" w:eastAsia="zh-CN"/>
        </w:rPr>
        <w:t xml:space="preserve"> </w:t>
      </w:r>
      <w:r>
        <w:rPr>
          <w:rFonts w:hint="default" w:ascii="Times New Roman" w:hAnsi="Times New Roman" w:cs="Times New Roman"/>
          <w:color w:val="auto"/>
          <w:sz w:val="24"/>
          <w:szCs w:val="24"/>
          <w:lang w:val="en-US" w:eastAsia="zh-CN"/>
        </w:rPr>
        <w:t>This law, tort of passing off, as Lord Kingsdown in Leather Cloth Co. v. American Leather Cloth Co.</w:t>
      </w:r>
      <w:r>
        <w:rPr>
          <w:rStyle w:val="7"/>
          <w:rFonts w:hint="default" w:ascii="Times New Roman" w:hAnsi="Times New Roman" w:eastAsia="Arial" w:cs="Times New Roman"/>
          <w:b w:val="0"/>
          <w:i w:val="0"/>
          <w:caps w:val="0"/>
          <w:color w:val="auto"/>
          <w:spacing w:val="0"/>
          <w:kern w:val="0"/>
          <w:sz w:val="24"/>
          <w:szCs w:val="24"/>
          <w:u w:val="none"/>
          <w:lang w:val="en-US" w:eastAsia="zh-CN" w:bidi="ar"/>
        </w:rPr>
        <w:footnoteReference w:id="1"/>
      </w:r>
      <w:r>
        <w:rPr>
          <w:rFonts w:hint="default" w:ascii="Times New Roman" w:hAnsi="Times New Roman" w:cs="Times New Roman"/>
          <w:color w:val="auto"/>
          <w:sz w:val="24"/>
          <w:szCs w:val="24"/>
          <w:lang w:val="en-GB" w:eastAsia="zh-CN"/>
        </w:rPr>
        <w:t xml:space="preserve"> </w:t>
      </w:r>
      <w:r>
        <w:rPr>
          <w:rFonts w:hint="default" w:ascii="Times New Roman" w:hAnsi="Times New Roman" w:cs="Times New Roman"/>
          <w:color w:val="auto"/>
          <w:sz w:val="24"/>
          <w:szCs w:val="24"/>
          <w:lang w:val="en-US" w:eastAsia="zh-CN"/>
        </w:rPr>
        <w:t xml:space="preserve">noted,seeks to protect traders from </w:t>
      </w:r>
      <w:r>
        <w:rPr>
          <w:rFonts w:hint="default" w:ascii="Times New Roman" w:hAnsi="Times New Roman" w:cs="Times New Roman"/>
          <w:color w:val="auto"/>
          <w:sz w:val="24"/>
          <w:szCs w:val="24"/>
        </w:rPr>
        <w:t>unhealthy competition, for “the fundamental rule is that one man has no right to put off his goods for sale as the goods of a rival trader.”</w:t>
      </w:r>
    </w:p>
    <w:p>
      <w:p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The tort of passing off</w:t>
      </w:r>
      <w:r>
        <w:rPr>
          <w:rFonts w:hint="default" w:ascii="Times New Roman" w:hAnsi="Times New Roman" w:cs="Times New Roman"/>
          <w:color w:val="auto"/>
          <w:sz w:val="24"/>
          <w:szCs w:val="24"/>
          <w:lang w:val="en-GB" w:eastAsia="zh-CN"/>
        </w:rPr>
        <w:t xml:space="preserve"> </w:t>
      </w:r>
      <w:r>
        <w:rPr>
          <w:rFonts w:hint="default" w:ascii="Times New Roman" w:hAnsi="Times New Roman" w:cs="Times New Roman"/>
          <w:color w:val="auto"/>
          <w:sz w:val="24"/>
          <w:szCs w:val="24"/>
          <w:lang w:val="en-US" w:eastAsia="zh-CN"/>
        </w:rPr>
        <w:t>as an economic tort, seeks to protect two classes of persons: the innocent public and an existing bonafide</w:t>
      </w:r>
      <w:r>
        <w:rPr>
          <w:rFonts w:hint="default" w:ascii="Times New Roman" w:hAnsi="Times New Roman" w:cs="Times New Roman"/>
          <w:color w:val="auto"/>
          <w:sz w:val="24"/>
          <w:szCs w:val="24"/>
          <w:lang w:val="en-GB" w:eastAsia="zh-CN"/>
        </w:rPr>
        <w:t xml:space="preserve"> </w:t>
      </w:r>
      <w:r>
        <w:rPr>
          <w:rFonts w:hint="default" w:ascii="Times New Roman" w:hAnsi="Times New Roman" w:cs="Times New Roman"/>
          <w:color w:val="auto"/>
          <w:sz w:val="24"/>
          <w:szCs w:val="24"/>
          <w:lang w:val="en-US" w:eastAsia="zh-CN"/>
        </w:rPr>
        <w:t>person or business, from the</w:t>
      </w:r>
      <w:r>
        <w:rPr>
          <w:rFonts w:hint="default" w:ascii="Times New Roman" w:hAnsi="Times New Roman" w:cs="Times New Roman"/>
          <w:color w:val="auto"/>
          <w:sz w:val="24"/>
          <w:szCs w:val="24"/>
          <w:lang w:val="en-GB" w:eastAsia="zh-CN"/>
        </w:rPr>
        <w:t xml:space="preserve"> </w:t>
      </w:r>
      <w:r>
        <w:rPr>
          <w:rFonts w:hint="default" w:ascii="Times New Roman" w:hAnsi="Times New Roman" w:cs="Times New Roman"/>
          <w:color w:val="auto"/>
          <w:sz w:val="24"/>
          <w:szCs w:val="24"/>
          <w:lang w:val="en-US" w:eastAsia="zh-CN"/>
        </w:rPr>
        <w:t>misrepresentation of another person</w:t>
      </w:r>
      <w:r>
        <w:rPr>
          <w:rFonts w:hint="default" w:ascii="Times New Roman" w:hAnsi="Times New Roman" w:cs="Times New Roman"/>
          <w:color w:val="auto"/>
          <w:sz w:val="24"/>
          <w:szCs w:val="24"/>
          <w:lang w:val="en-GB" w:eastAsia="zh-CN"/>
        </w:rPr>
        <w:t xml:space="preserve">. </w:t>
      </w:r>
      <w:r>
        <w:rPr>
          <w:rFonts w:hint="default" w:ascii="Times New Roman" w:hAnsi="Times New Roman" w:cs="Times New Roman"/>
          <w:color w:val="auto"/>
          <w:sz w:val="24"/>
          <w:szCs w:val="24"/>
        </w:rPr>
        <w:t>Passing off is governed by the civil law.</w:t>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rPr>
        <w:t>This tort occurs where, for instance, X presents his business or services out to the world as that of Y, for which the latter has consequentially occasioned or is likely to occasion damage.</w:t>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rPr>
        <w:t xml:space="preserve">Passing off takes place when someone, such as a business, passes off another party’s goods or services as if they are their own, by misrepresentation. </w:t>
      </w:r>
    </w:p>
    <w:p>
      <w:pPr>
        <w:bidi w:val="0"/>
        <w:spacing w:line="360" w:lineRule="auto"/>
        <w:ind w:firstLine="360" w:firstLineChars="15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law of passing off protects the goodwill of a business of person from other traders. Sparkling Breweries Ltd. v. Union Bank of Nigeria</w:t>
      </w:r>
      <w:r>
        <w:rPr>
          <w:rStyle w:val="7"/>
          <w:rFonts w:hint="default" w:ascii="Times New Roman" w:hAnsi="Times New Roman" w:eastAsia="&amp;quot" w:cs="Times New Roman"/>
          <w:b/>
          <w:i w:val="0"/>
          <w:caps w:val="0"/>
          <w:color w:val="auto"/>
          <w:spacing w:val="0"/>
          <w:sz w:val="24"/>
          <w:szCs w:val="24"/>
          <w:u w:val="none"/>
        </w:rPr>
        <w:footnoteReference w:id="2"/>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rPr>
        <w:t>made a pronouncement in an action founded on the Tort of Unlawful Interference</w:t>
      </w:r>
      <w:r>
        <w:rPr>
          <w:rFonts w:hint="default" w:ascii="Times New Roman" w:hAnsi="Times New Roman" w:cs="Times New Roman"/>
          <w:color w:val="auto"/>
          <w:sz w:val="24"/>
          <w:szCs w:val="24"/>
          <w:lang w:val="en-GB"/>
        </w:rPr>
        <w:t xml:space="preserve"> and not passing off. </w:t>
      </w:r>
      <w:r>
        <w:rPr>
          <w:rFonts w:hint="default" w:ascii="Times New Roman" w:hAnsi="Times New Roman" w:cs="Times New Roman"/>
          <w:color w:val="auto"/>
          <w:sz w:val="24"/>
          <w:szCs w:val="24"/>
        </w:rPr>
        <w:t>The principle underlying the tort of passing off is that “A man is not to sell his own goods under the pretence that they are the goods of another man” (Perry v Truefitt</w:t>
      </w:r>
      <w:r>
        <w:rPr>
          <w:rFonts w:hint="default" w:ascii="Times New Roman" w:hAnsi="Times New Roman" w:cs="Times New Roman"/>
          <w:color w:val="auto"/>
          <w:sz w:val="24"/>
          <w:szCs w:val="24"/>
          <w:lang w:val="en-GB"/>
        </w:rPr>
        <w:t>)</w:t>
      </w:r>
      <w:r>
        <w:rPr>
          <w:rFonts w:hint="default" w:ascii="Times New Roman" w:hAnsi="Times New Roman" w:cs="Times New Roman"/>
          <w:color w:val="auto"/>
          <w:sz w:val="24"/>
          <w:szCs w:val="24"/>
        </w:rPr>
        <w:t>.</w:t>
      </w:r>
      <w:r>
        <w:rPr>
          <w:rStyle w:val="7"/>
          <w:rFonts w:hint="default" w:ascii="Times New Roman" w:hAnsi="Times New Roman" w:eastAsia="Helvetica" w:cs="Times New Roman"/>
          <w:i w:val="0"/>
          <w:caps w:val="0"/>
          <w:color w:val="auto"/>
          <w:spacing w:val="0"/>
          <w:sz w:val="24"/>
          <w:szCs w:val="24"/>
          <w:u w:val="none"/>
        </w:rPr>
        <w:footnoteReference w:id="3"/>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rPr>
        <w:t>In each case of passing off, the key issue is the danger of misrepresentation as to the origin of goods or services. If someone leads consumers to believe that their goods or services are connected with another business when they are not, they may give the other business grounds to sue for passing off.</w:t>
      </w:r>
    </w:p>
    <w:p>
      <w:pPr>
        <w:bidi w:val="0"/>
        <w:spacing w:line="36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Burden of Proof</w:t>
      </w:r>
    </w:p>
    <w:p>
      <w:p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rPr>
        <w:t xml:space="preserve">The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"https://hallellis.co.uk/burden-proof-balance-probabilities/" \l "_burden" </w:instrText>
      </w:r>
      <w:r>
        <w:rPr>
          <w:rFonts w:hint="default" w:ascii="Times New Roman" w:hAnsi="Times New Roman" w:cs="Times New Roman"/>
          <w:color w:val="auto"/>
          <w:sz w:val="24"/>
          <w:szCs w:val="24"/>
        </w:rPr>
        <w:fldChar w:fldCharType="separate"/>
      </w:r>
      <w:r>
        <w:rPr>
          <w:rStyle w:val="8"/>
          <w:rFonts w:hint="default" w:ascii="Times New Roman" w:hAnsi="Times New Roman" w:eastAsia="&amp;quot" w:cs="Times New Roman"/>
          <w:i w:val="0"/>
          <w:caps w:val="0"/>
          <w:color w:val="auto"/>
          <w:spacing w:val="8"/>
          <w:sz w:val="24"/>
          <w:szCs w:val="24"/>
          <w:u w:val="none"/>
        </w:rPr>
        <w:t>burden of proof</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is with the claimant the business harmed to show on the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"https://hallellis.co.uk/burden-proof-balance-probabilities/" \l "_balance" </w:instrText>
      </w:r>
      <w:r>
        <w:rPr>
          <w:rFonts w:hint="default" w:ascii="Times New Roman" w:hAnsi="Times New Roman" w:cs="Times New Roman"/>
          <w:color w:val="auto"/>
          <w:sz w:val="24"/>
          <w:szCs w:val="24"/>
        </w:rPr>
        <w:fldChar w:fldCharType="separate"/>
      </w:r>
      <w:r>
        <w:rPr>
          <w:rStyle w:val="8"/>
          <w:rFonts w:hint="default" w:ascii="Times New Roman" w:hAnsi="Times New Roman" w:eastAsia="&amp;quot" w:cs="Times New Roman"/>
          <w:i w:val="0"/>
          <w:caps w:val="0"/>
          <w:color w:val="auto"/>
          <w:spacing w:val="8"/>
          <w:sz w:val="24"/>
          <w:szCs w:val="24"/>
          <w:u w:val="none"/>
        </w:rPr>
        <w:t>balance of probabilities</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en-GB"/>
        </w:rPr>
        <w:t>.</w:t>
      </w:r>
    </w:p>
    <w:p>
      <w:pPr>
        <w:bidi w:val="0"/>
        <w:spacing w:line="360" w:lineRule="auto"/>
        <w:jc w:val="center"/>
        <w:rPr>
          <w:rFonts w:hint="default" w:ascii="Times New Roman" w:hAnsi="Times New Roman" w:cs="Times New Roman"/>
          <w:b/>
          <w:bCs/>
          <w:color w:val="auto"/>
          <w:sz w:val="24"/>
          <w:szCs w:val="24"/>
          <w:lang w:val="en-GB"/>
        </w:rPr>
      </w:pPr>
      <w:r>
        <w:rPr>
          <w:rFonts w:hint="default" w:ascii="Times New Roman" w:hAnsi="Times New Roman" w:cs="Times New Roman"/>
          <w:b/>
          <w:bCs/>
          <w:color w:val="auto"/>
          <w:sz w:val="24"/>
          <w:szCs w:val="24"/>
          <w:lang w:val="en-GB"/>
        </w:rPr>
        <w:t>Element of passing off</w:t>
      </w:r>
    </w:p>
    <w:p>
      <w:p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rPr>
        <w:t>To establish a claim for passing off, you must meet three key requirements:</w:t>
      </w:r>
    </w:p>
    <w:p>
      <w:pPr>
        <w:numPr>
          <w:ilvl w:val="0"/>
          <w:numId w:val="2"/>
        </w:num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R</w:t>
      </w:r>
      <w:r>
        <w:rPr>
          <w:rFonts w:hint="default" w:ascii="Times New Roman" w:hAnsi="Times New Roman" w:cs="Times New Roman"/>
          <w:color w:val="auto"/>
          <w:sz w:val="24"/>
          <w:szCs w:val="24"/>
        </w:rPr>
        <w:t>eputation</w:t>
      </w:r>
    </w:p>
    <w:p>
      <w:pPr>
        <w:numPr>
          <w:ilvl w:val="0"/>
          <w:numId w:val="2"/>
        </w:num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M</w:t>
      </w:r>
      <w:r>
        <w:rPr>
          <w:rFonts w:hint="default" w:ascii="Times New Roman" w:hAnsi="Times New Roman" w:cs="Times New Roman"/>
          <w:color w:val="auto"/>
          <w:sz w:val="24"/>
          <w:szCs w:val="24"/>
        </w:rPr>
        <w:t>isrepresentation</w:t>
      </w:r>
    </w:p>
    <w:p>
      <w:pPr>
        <w:numPr>
          <w:ilvl w:val="0"/>
          <w:numId w:val="2"/>
        </w:num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 xml:space="preserve">Goodwill </w:t>
      </w:r>
    </w:p>
    <w:p>
      <w:pPr>
        <w:numPr>
          <w:ilvl w:val="0"/>
          <w:numId w:val="2"/>
        </w:num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Damage</w:t>
      </w:r>
    </w:p>
    <w:p>
      <w:p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lang w:val="en-GB"/>
        </w:rPr>
        <w:t>Reputation</w:t>
      </w:r>
      <w:r>
        <w:rPr>
          <w:rFonts w:hint="default" w:ascii="Times New Roman" w:hAnsi="Times New Roman" w:cs="Times New Roman"/>
          <w:color w:val="auto"/>
          <w:sz w:val="24"/>
          <w:szCs w:val="24"/>
        </w:rPr>
        <w:t xml:space="preserve"> - you must prove that you own a 'reputation' in the mark that the public associates with your specific product or service</w:t>
      </w:r>
    </w:p>
    <w:p>
      <w:pPr>
        <w:bidi w:val="0"/>
        <w:spacing w:line="360" w:lineRule="auto"/>
        <w:jc w:val="both"/>
        <w:rPr>
          <w:rFonts w:hint="default" w:ascii="Times New Roman" w:hAnsi="Times New Roman" w:cs="Times New Roman"/>
          <w:b/>
          <w:bCs/>
          <w:color w:val="auto"/>
          <w:sz w:val="24"/>
          <w:szCs w:val="24"/>
          <w:lang w:val="en-GB"/>
        </w:rPr>
      </w:pPr>
    </w:p>
    <w:p>
      <w:p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lang w:val="en-GB"/>
        </w:rPr>
        <w:t>M</w:t>
      </w:r>
      <w:r>
        <w:rPr>
          <w:rFonts w:hint="default" w:ascii="Times New Roman" w:hAnsi="Times New Roman" w:cs="Times New Roman"/>
          <w:b/>
          <w:bCs/>
          <w:color w:val="auto"/>
          <w:sz w:val="24"/>
          <w:szCs w:val="24"/>
        </w:rPr>
        <w:t>isrepresentation</w:t>
      </w:r>
      <w:r>
        <w:rPr>
          <w:rFonts w:hint="default" w:ascii="Times New Roman" w:hAnsi="Times New Roman" w:cs="Times New Roman"/>
          <w:color w:val="auto"/>
          <w:sz w:val="24"/>
          <w:szCs w:val="24"/>
        </w:rPr>
        <w:t>- you must show that the trader has caused confusion and deceived or misled the customers into believing that their goods and services are actually yours</w:t>
      </w:r>
      <w:r>
        <w:rPr>
          <w:rFonts w:hint="default" w:ascii="Times New Roman" w:hAnsi="Times New Roman" w:cs="Times New Roman"/>
          <w:color w:val="auto"/>
          <w:sz w:val="24"/>
          <w:szCs w:val="24"/>
          <w:lang w:val="en-GB"/>
        </w:rPr>
        <w:t>.</w:t>
      </w:r>
      <w:r>
        <w:rPr>
          <w:rFonts w:hint="default" w:ascii="Times New Roman" w:hAnsi="Times New Roman" w:cs="Times New Roman"/>
          <w:color w:val="auto"/>
          <w:sz w:val="24"/>
          <w:szCs w:val="24"/>
        </w:rPr>
        <w:t>In any passing off action, the representation must create a confusion of connection between the two products. It cannot be mere description to amount to passing off but to market a product in a similar way to another may be passing off. The key to misrepresentation is the confusion it creates</w:t>
      </w:r>
      <w:r>
        <w:rPr>
          <w:rFonts w:hint="default" w:ascii="Times New Roman" w:hAnsi="Times New Roman" w:cs="Times New Roman"/>
          <w:color w:val="auto"/>
          <w:sz w:val="24"/>
          <w:szCs w:val="24"/>
          <w:lang w:val="en-GB"/>
        </w:rPr>
        <w:t>.</w:t>
      </w:r>
      <w:r>
        <w:rPr>
          <w:rFonts w:hint="default" w:ascii="Times New Roman" w:hAnsi="Times New Roman" w:cs="Times New Roman"/>
          <w:color w:val="auto"/>
          <w:sz w:val="24"/>
          <w:szCs w:val="24"/>
        </w:rPr>
        <w:t>The most famous case is Reckitt and Colman Products v Borden Inc (1990). Here the defendants were selling lemon juice in containers similar to the lemon-shaped containers of Jif Lemon. Despite being a different size and having a different label, the court held that there was a misrepresentation and granted an injunction.</w:t>
      </w:r>
    </w:p>
    <w:p>
      <w:pPr>
        <w:bidi w:val="0"/>
        <w:spacing w:line="360" w:lineRule="auto"/>
        <w:jc w:val="both"/>
        <w:rPr>
          <w:rFonts w:hint="default" w:ascii="Times New Roman" w:hAnsi="Times New Roman" w:cs="Times New Roman"/>
          <w:color w:val="auto"/>
          <w:sz w:val="24"/>
          <w:szCs w:val="24"/>
        </w:rPr>
      </w:pPr>
    </w:p>
    <w:p>
      <w:p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b/>
          <w:bCs/>
          <w:color w:val="auto"/>
          <w:sz w:val="24"/>
          <w:szCs w:val="24"/>
          <w:lang w:val="en-GB"/>
        </w:rPr>
        <w:t>Goodwill</w:t>
      </w:r>
      <w:r>
        <w:rPr>
          <w:rFonts w:hint="default" w:ascii="Times New Roman" w:hAnsi="Times New Roman" w:cs="Times New Roman"/>
          <w:color w:val="auto"/>
          <w:sz w:val="24"/>
          <w:szCs w:val="24"/>
          <w:lang w:val="en-GB"/>
        </w:rPr>
        <w:t>:</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GB"/>
        </w:rPr>
        <w:t>Y</w:t>
      </w:r>
      <w:r>
        <w:rPr>
          <w:rFonts w:hint="default" w:ascii="Times New Roman" w:hAnsi="Times New Roman" w:cs="Times New Roman"/>
          <w:color w:val="auto"/>
          <w:sz w:val="24"/>
          <w:szCs w:val="24"/>
        </w:rPr>
        <w:t>ou must prove that the misrepresentation damaged or is likely to damage your goodwill, or cause actual or foreseeable financial or reputation loss</w:t>
      </w:r>
      <w:r>
        <w:rPr>
          <w:rFonts w:hint="default" w:ascii="Times New Roman" w:hAnsi="Times New Roman" w:cs="Times New Roman"/>
          <w:color w:val="auto"/>
          <w:sz w:val="24"/>
          <w:szCs w:val="24"/>
          <w:lang w:val="en-GB"/>
        </w:rPr>
        <w:t>. In Manitoba Fisheries Ltd. v. The Queen</w:t>
      </w:r>
      <w:r>
        <w:rPr>
          <w:rStyle w:val="7"/>
          <w:rFonts w:hint="default" w:ascii="Times New Roman" w:hAnsi="Times New Roman" w:cs="Times New Roman"/>
          <w:b/>
          <w:bCs/>
          <w:caps w:val="0"/>
          <w:color w:val="auto"/>
          <w:spacing w:val="0"/>
          <w:sz w:val="24"/>
          <w:szCs w:val="24"/>
          <w:u w:val="none"/>
          <w:lang w:val="en-GB"/>
        </w:rPr>
        <w:footnoteReference w:id="4"/>
      </w:r>
      <w:r>
        <w:rPr>
          <w:rFonts w:hint="default" w:ascii="Times New Roman" w:hAnsi="Times New Roman" w:cs="Times New Roman"/>
          <w:color w:val="auto"/>
          <w:sz w:val="24"/>
          <w:szCs w:val="24"/>
          <w:lang w:val="en-GB"/>
        </w:rPr>
        <w:t>, this Court adopted the following definition of "goodwill": "Goodwill" is a word sometimes used to indicate a ready formed connection of customers whose custom is of value because it is likely to continue. But in its commercial sense the word may connote much more than this.</w:t>
      </w:r>
    </w:p>
    <w:p>
      <w:p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A plaintiff must therefore prove the existence of a commercial reputation or goodwill created through the exclusive association of the name, mark or other indicia relied upon with its business, wares or services.  This proof necessitates that the plaintiff’s name or mark be distinctive of the plaintiff’s business, wares or services. Distinctiveness is the very essence of a trade-mark at common law and under the Trade-marks Act - without it there is no protectable right.</w:t>
      </w:r>
      <w:r>
        <w:rPr>
          <w:rStyle w:val="7"/>
          <w:rFonts w:hint="default" w:ascii="Times New Roman" w:hAnsi="Times New Roman" w:cs="Times New Roman"/>
          <w:caps w:val="0"/>
          <w:color w:val="auto"/>
          <w:spacing w:val="0"/>
          <w:sz w:val="24"/>
          <w:szCs w:val="24"/>
          <w:u w:val="none"/>
          <w:lang w:val="en-GB"/>
        </w:rPr>
        <w:footnoteReference w:id="5"/>
      </w:r>
    </w:p>
    <w:p>
      <w:pPr>
        <w:bidi w:val="0"/>
        <w:spacing w:line="360" w:lineRule="auto"/>
        <w:jc w:val="both"/>
        <w:rPr>
          <w:rFonts w:hint="default" w:ascii="Times New Roman" w:hAnsi="Times New Roman" w:cs="Times New Roman"/>
          <w:b/>
          <w:bCs/>
          <w:color w:val="auto"/>
          <w:sz w:val="24"/>
          <w:szCs w:val="24"/>
          <w:lang w:val="en-GB"/>
        </w:rPr>
      </w:pPr>
    </w:p>
    <w:p>
      <w:p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b/>
          <w:bCs/>
          <w:color w:val="auto"/>
          <w:sz w:val="24"/>
          <w:szCs w:val="24"/>
          <w:lang w:val="en-GB"/>
        </w:rPr>
        <w:t xml:space="preserve">Damage: </w:t>
      </w:r>
      <w:r>
        <w:rPr>
          <w:rFonts w:hint="default" w:ascii="Times New Roman" w:hAnsi="Times New Roman" w:cs="Times New Roman"/>
          <w:color w:val="auto"/>
          <w:sz w:val="24"/>
          <w:szCs w:val="24"/>
        </w:rPr>
        <w:t xml:space="preserve">The final element is damage, or the likelihood of damage. Goddard LJ noted in Daper v Trist and Tristbestos Brake Linings Ltd (1939) that law assumes ‘if the goodwill of a man’s business has been interfered with by passing-off of goods, damage results there from’. In this case the claimant was able to succeed on the basis that there was a real possibility of damage. </w:t>
      </w:r>
    </w:p>
    <w:p>
      <w:pPr>
        <w:bidi w:val="0"/>
        <w:spacing w:line="360" w:lineRule="auto"/>
        <w:jc w:val="both"/>
        <w:rPr>
          <w:rFonts w:hint="default" w:ascii="Times New Roman" w:hAnsi="Times New Roman" w:cs="Times New Roman"/>
          <w:color w:val="auto"/>
          <w:sz w:val="24"/>
          <w:szCs w:val="24"/>
        </w:rPr>
      </w:pPr>
    </w:p>
    <w:p>
      <w:pPr>
        <w:bidi w:val="0"/>
        <w:spacing w:line="36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Remedies</w:t>
      </w:r>
    </w:p>
    <w:p>
      <w:p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rPr>
        <w:t>An action for passing off is a civil litigation. The relief (in the form of various kinds of court order) available to the victim includes:</w:t>
      </w:r>
    </w:p>
    <w:p>
      <w:pPr>
        <w:numPr>
          <w:ilvl w:val="0"/>
          <w:numId w:val="3"/>
        </w:num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Damages or an account of the defendant’s profits;</w:t>
      </w:r>
    </w:p>
    <w:p>
      <w:pPr>
        <w:numPr>
          <w:ilvl w:val="0"/>
          <w:numId w:val="3"/>
        </w:num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 order for the delivery up or the destruction of the infringing articles or products;</w:t>
      </w:r>
    </w:p>
    <w:p>
      <w:pPr>
        <w:numPr>
          <w:ilvl w:val="0"/>
          <w:numId w:val="3"/>
        </w:num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 injunction to prevent further actions that amount to passing off;</w:t>
      </w:r>
    </w:p>
    <w:p>
      <w:pPr>
        <w:numPr>
          <w:ilvl w:val="0"/>
          <w:numId w:val="3"/>
        </w:num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Interim injunction if you need to act quickly;</w:t>
      </w:r>
    </w:p>
    <w:p>
      <w:pPr>
        <w:bidi w:val="0"/>
        <w:spacing w:line="360" w:lineRule="auto"/>
        <w:jc w:val="both"/>
        <w:rPr>
          <w:rFonts w:hint="default" w:ascii="Times New Roman" w:hAnsi="Times New Roman" w:cs="Times New Roman"/>
          <w:color w:val="auto"/>
          <w:sz w:val="24"/>
          <w:szCs w:val="24"/>
        </w:rPr>
      </w:pPr>
    </w:p>
    <w:p>
      <w:p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Defences</w:t>
      </w:r>
      <w:r>
        <w:rPr>
          <w:rFonts w:hint="default" w:ascii="Times New Roman" w:hAnsi="Times New Roman" w:cs="Times New Roman"/>
          <w:b/>
          <w:bCs/>
          <w:color w:val="auto"/>
          <w:sz w:val="24"/>
          <w:szCs w:val="24"/>
          <w:lang w:val="en-GB"/>
        </w:rPr>
        <w:t xml:space="preserve">: </w:t>
      </w:r>
      <w:r>
        <w:rPr>
          <w:rFonts w:hint="default" w:ascii="Times New Roman" w:hAnsi="Times New Roman" w:cs="Times New Roman"/>
          <w:b w:val="0"/>
          <w:bCs w:val="0"/>
          <w:color w:val="auto"/>
          <w:sz w:val="24"/>
          <w:szCs w:val="24"/>
          <w:lang w:val="en-GB"/>
        </w:rPr>
        <w:t>T</w:t>
      </w:r>
      <w:r>
        <w:rPr>
          <w:rFonts w:hint="default" w:ascii="Times New Roman" w:hAnsi="Times New Roman" w:cs="Times New Roman"/>
          <w:color w:val="auto"/>
          <w:sz w:val="24"/>
          <w:szCs w:val="24"/>
        </w:rPr>
        <w:t>he following are available as a defence to a passing off claim:</w:t>
      </w:r>
    </w:p>
    <w:p>
      <w:pPr>
        <w:numPr>
          <w:ilvl w:val="0"/>
          <w:numId w:val="4"/>
        </w:num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claimant’s mark, slogan, etc is not distinctive</w:t>
      </w:r>
    </w:p>
    <w:p>
      <w:pPr>
        <w:numPr>
          <w:ilvl w:val="0"/>
          <w:numId w:val="4"/>
        </w:numPr>
        <w:bidi w:val="0"/>
        <w:spacing w:line="36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mark, slogan, etc has become generic</w:t>
      </w:r>
    </w:p>
    <w:p>
      <w:pPr>
        <w:numPr>
          <w:ilvl w:val="0"/>
          <w:numId w:val="4"/>
        </w:num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rPr>
        <w:t>The defendant may be innocently using his or her own name</w:t>
      </w:r>
    </w:p>
    <w:p>
      <w:pPr>
        <w:numPr>
          <w:ilvl w:val="0"/>
          <w:numId w:val="4"/>
        </w:num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rPr>
        <w:t>Consent</w:t>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rPr>
        <w:t>The claimant has given</w:t>
      </w:r>
      <w:r>
        <w:rPr>
          <w:rFonts w:hint="default" w:ascii="Times New Roman" w:hAnsi="Times New Roman" w:cs="Times New Roman"/>
          <w:color w:val="auto"/>
          <w:sz w:val="24"/>
          <w:szCs w:val="24"/>
          <w:lang w:val="en-GB"/>
        </w:rPr>
        <w:t xml:space="preserve"> his consent</w:t>
      </w:r>
    </w:p>
    <w:p>
      <w:pPr>
        <w:bidi w:val="0"/>
        <w:spacing w:line="360" w:lineRule="auto"/>
        <w:jc w:val="both"/>
        <w:rPr>
          <w:rFonts w:hint="default" w:ascii="Times New Roman" w:hAnsi="Times New Roman" w:cs="Times New Roman"/>
          <w:color w:val="auto"/>
          <w:sz w:val="24"/>
          <w:szCs w:val="24"/>
          <w:lang w:val="en-GB"/>
        </w:rPr>
      </w:pPr>
    </w:p>
    <w:p>
      <w:p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References</w:t>
      </w:r>
    </w:p>
    <w:p>
      <w:pPr>
        <w:numPr>
          <w:ilvl w:val="0"/>
          <w:numId w:val="5"/>
        </w:numPr>
        <w:bidi w:val="0"/>
        <w:spacing w:line="360" w:lineRule="auto"/>
        <w:ind w:left="420" w:leftChars="0" w:hanging="420" w:firstLineChars="0"/>
        <w:jc w:val="both"/>
        <w:rPr>
          <w:rFonts w:hint="default" w:ascii="Times New Roman" w:hAnsi="Times New Roman" w:cs="Times New Roman"/>
          <w:color w:val="auto"/>
          <w:sz w:val="24"/>
          <w:szCs w:val="24"/>
          <w:lang w:val="en-GB"/>
        </w:rPr>
      </w:pPr>
      <w:r>
        <w:rPr>
          <w:rFonts w:hint="default" w:ascii="Times New Roman" w:hAnsi="Times New Roman"/>
          <w:color w:val="auto"/>
          <w:sz w:val="24"/>
          <w:szCs w:val="24"/>
          <w:lang w:val="en-GB"/>
        </w:rPr>
        <w:t xml:space="preserve">Lawyer and trade-mark agent, Barry Gamache is a partner with ROBIC, LLP, a multidisciplinary firm of lawyers and patent and trade-mark agents. Published as part of the IP Benchbook (update 200905-31). Publication 404 </w:t>
      </w:r>
    </w:p>
    <w:p>
      <w:pPr>
        <w:numPr>
          <w:ilvl w:val="0"/>
          <w:numId w:val="5"/>
        </w:numPr>
        <w:bidi w:val="0"/>
        <w:spacing w:line="360" w:lineRule="auto"/>
        <w:ind w:left="420" w:leftChars="0" w:hanging="420" w:firstLineChars="0"/>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 xml:space="preserve">Blacks law dictionary </w:t>
      </w:r>
    </w:p>
    <w:p>
      <w:pPr>
        <w:numPr>
          <w:ilvl w:val="0"/>
          <w:numId w:val="5"/>
        </w:numPr>
        <w:bidi w:val="0"/>
        <w:spacing w:line="360" w:lineRule="auto"/>
        <w:ind w:left="420" w:leftChars="0" w:hanging="420" w:firstLineChars="0"/>
        <w:jc w:val="both"/>
        <w:rPr>
          <w:rFonts w:hint="default" w:ascii="Times New Roman" w:hAnsi="Times New Roman" w:cs="Times New Roman"/>
          <w:color w:val="auto"/>
          <w:sz w:val="24"/>
          <w:szCs w:val="24"/>
          <w:lang w:val="en-GB"/>
        </w:rPr>
      </w:pPr>
      <w:r>
        <w:rPr>
          <w:rFonts w:hint="default" w:ascii="Times New Roman" w:hAnsi="Times New Roman"/>
          <w:color w:val="auto"/>
          <w:sz w:val="24"/>
          <w:szCs w:val="24"/>
          <w:lang w:val="en-GB"/>
        </w:rPr>
        <w:fldChar w:fldCharType="begin"/>
      </w:r>
      <w:r>
        <w:rPr>
          <w:rFonts w:hint="default" w:ascii="Times New Roman" w:hAnsi="Times New Roman"/>
          <w:color w:val="auto"/>
          <w:sz w:val="24"/>
          <w:szCs w:val="24"/>
          <w:lang w:val="en-GB"/>
        </w:rPr>
        <w:instrText xml:space="preserve"> HYPERLINK "https://thestudentlawyer.com/2014/01/22/understanding-passing-off/" </w:instrText>
      </w:r>
      <w:r>
        <w:rPr>
          <w:rFonts w:hint="default" w:ascii="Times New Roman" w:hAnsi="Times New Roman"/>
          <w:color w:val="auto"/>
          <w:sz w:val="24"/>
          <w:szCs w:val="24"/>
          <w:lang w:val="en-GB"/>
        </w:rPr>
        <w:fldChar w:fldCharType="separate"/>
      </w:r>
      <w:r>
        <w:rPr>
          <w:rStyle w:val="8"/>
          <w:rFonts w:hint="default" w:ascii="Times New Roman" w:hAnsi="Times New Roman"/>
          <w:sz w:val="24"/>
          <w:szCs w:val="24"/>
          <w:lang w:val="en-GB"/>
        </w:rPr>
        <w:t>https://thestudentlawyer.com/2014/01/22/understanding-passing-off/</w:t>
      </w:r>
      <w:r>
        <w:rPr>
          <w:rFonts w:hint="default" w:ascii="Times New Roman" w:hAnsi="Times New Roman"/>
          <w:color w:val="auto"/>
          <w:sz w:val="24"/>
          <w:szCs w:val="24"/>
          <w:lang w:val="en-GB"/>
        </w:rPr>
        <w:fldChar w:fldCharType="end"/>
      </w:r>
      <w:r>
        <w:rPr>
          <w:rFonts w:hint="default" w:ascii="Times New Roman" w:hAnsi="Times New Roman"/>
          <w:color w:val="auto"/>
          <w:sz w:val="24"/>
          <w:szCs w:val="24"/>
          <w:lang w:val="en-GB"/>
        </w:rPr>
        <w:t xml:space="preserve"> </w:t>
      </w:r>
      <w:bookmarkStart w:id="0" w:name="_GoBack"/>
      <w:bookmarkEnd w:id="0"/>
    </w:p>
    <w:p>
      <w:pPr>
        <w:numPr>
          <w:ilvl w:val="0"/>
          <w:numId w:val="5"/>
        </w:numPr>
        <w:bidi w:val="0"/>
        <w:spacing w:line="360" w:lineRule="auto"/>
        <w:ind w:left="420" w:leftChars="0" w:hanging="420" w:firstLineChars="0"/>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rPr>
        <w:t>R. Scott. Jolliffe, “The Common Law Doctrine of Passing Off” in Gordon F. Henderson ed., Trademarks Law of Canada (Toronto: Carswell, 1993) at 206 – 207</w:t>
      </w:r>
    </w:p>
    <w:p>
      <w:pPr>
        <w:numPr>
          <w:ilvl w:val="0"/>
          <w:numId w:val="5"/>
        </w:numPr>
        <w:bidi w:val="0"/>
        <w:spacing w:line="360" w:lineRule="auto"/>
        <w:ind w:left="420" w:leftChars="0" w:hanging="420" w:firstLineChars="0"/>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fldChar w:fldCharType="begin"/>
      </w:r>
      <w:r>
        <w:rPr>
          <w:rFonts w:hint="default" w:ascii="Times New Roman" w:hAnsi="Times New Roman" w:cs="Times New Roman"/>
          <w:color w:val="auto"/>
          <w:sz w:val="24"/>
          <w:szCs w:val="24"/>
          <w:lang w:val="en-GB"/>
        </w:rPr>
        <w:instrText xml:space="preserve"> HYPERLINK "https://www.clic.org.hk/en/topics/intellectualProperty/passing_off/" </w:instrText>
      </w:r>
      <w:r>
        <w:rPr>
          <w:rFonts w:hint="default" w:ascii="Times New Roman" w:hAnsi="Times New Roman" w:cs="Times New Roman"/>
          <w:color w:val="auto"/>
          <w:sz w:val="24"/>
          <w:szCs w:val="24"/>
          <w:lang w:val="en-GB"/>
        </w:rPr>
        <w:fldChar w:fldCharType="separate"/>
      </w:r>
      <w:r>
        <w:rPr>
          <w:rStyle w:val="8"/>
          <w:rFonts w:hint="default" w:ascii="Times New Roman" w:hAnsi="Times New Roman" w:cs="Times New Roman"/>
          <w:sz w:val="24"/>
          <w:szCs w:val="24"/>
          <w:lang w:val="en-GB"/>
        </w:rPr>
        <w:t>https://www.clic.org.hk/en/topics/intellectualProperty/passing_off/</w:t>
      </w:r>
      <w:r>
        <w:rPr>
          <w:rFonts w:hint="default" w:ascii="Times New Roman" w:hAnsi="Times New Roman" w:cs="Times New Roman"/>
          <w:color w:val="auto"/>
          <w:sz w:val="24"/>
          <w:szCs w:val="24"/>
          <w:lang w:val="en-GB"/>
        </w:rPr>
        <w:fldChar w:fldCharType="end"/>
      </w:r>
    </w:p>
    <w:p>
      <w:pPr>
        <w:bidi w:val="0"/>
        <w:spacing w:line="360" w:lineRule="auto"/>
        <w:jc w:val="both"/>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GB"/>
        </w:rPr>
        <w:t xml:space="preserve"> </w:t>
      </w:r>
    </w:p>
    <w:p>
      <w:pPr>
        <w:bidi w:val="0"/>
        <w:spacing w:line="360" w:lineRule="auto"/>
        <w:jc w:val="both"/>
        <w:rPr>
          <w:rFonts w:hint="default" w:ascii="Times New Roman" w:hAnsi="Times New Roman" w:cs="Times New Roman"/>
          <w:color w:val="auto"/>
          <w:sz w:val="24"/>
          <w:szCs w:val="24"/>
          <w:lang w:val="en-GB"/>
        </w:rPr>
      </w:pPr>
    </w:p>
    <w:p>
      <w:pPr>
        <w:bidi w:val="0"/>
        <w:spacing w:line="360" w:lineRule="auto"/>
        <w:jc w:val="both"/>
        <w:rPr>
          <w:rFonts w:hint="default" w:ascii="Times New Roman" w:hAnsi="Times New Roman" w:cs="Times New Roman"/>
          <w:color w:val="auto"/>
          <w:sz w:val="24"/>
          <w:szCs w:val="24"/>
          <w:lang w:val="en-GB"/>
        </w:rPr>
      </w:pPr>
    </w:p>
    <w:p>
      <w:pPr>
        <w:bidi w:val="0"/>
        <w:spacing w:line="360" w:lineRule="auto"/>
        <w:jc w:val="both"/>
        <w:rPr>
          <w:rFonts w:hint="default" w:ascii="Times New Roman" w:hAnsi="Times New Roman" w:cs="Times New Roman"/>
          <w:color w:val="auto"/>
          <w:sz w:val="24"/>
          <w:szCs w:val="24"/>
          <w:lang w:val="en-GB"/>
        </w:rPr>
      </w:pPr>
    </w:p>
    <w:p>
      <w:pPr>
        <w:bidi w:val="0"/>
        <w:spacing w:line="360" w:lineRule="auto"/>
        <w:jc w:val="both"/>
        <w:rPr>
          <w:rFonts w:hint="default" w:ascii="Times New Roman" w:hAnsi="Times New Roman" w:cs="Times New Roman"/>
          <w:color w:val="auto"/>
          <w:sz w:val="24"/>
          <w:szCs w:val="24"/>
          <w:lang w:val="en-GB"/>
        </w:rPr>
      </w:pPr>
    </w:p>
    <w:p>
      <w:pPr>
        <w:bidi w:val="0"/>
        <w:spacing w:line="360" w:lineRule="auto"/>
        <w:jc w:val="both"/>
        <w:rPr>
          <w:rFonts w:hint="default" w:ascii="Times New Roman" w:hAnsi="Times New Roman" w:cs="Times New Roman"/>
          <w:color w:val="auto"/>
          <w:sz w:val="24"/>
          <w:szCs w:val="24"/>
        </w:rPr>
      </w:pPr>
    </w:p>
    <w:p>
      <w:pPr>
        <w:bidi w:val="0"/>
        <w:spacing w:line="360" w:lineRule="auto"/>
        <w:jc w:val="both"/>
        <w:rPr>
          <w:rFonts w:hint="default" w:ascii="Times New Roman" w:hAnsi="Times New Roman" w:cs="Times New Roman"/>
          <w:color w:val="auto"/>
          <w:sz w:val="24"/>
          <w:szCs w:val="24"/>
          <w:lang w:val="en-GB" w:eastAsia="zh-CN"/>
        </w:rPr>
      </w:pPr>
    </w:p>
    <w:p>
      <w:pPr>
        <w:bidi w:val="0"/>
        <w:spacing w:line="360" w:lineRule="auto"/>
        <w:jc w:val="both"/>
        <w:rPr>
          <w:rFonts w:hint="default" w:ascii="Times New Roman" w:hAnsi="Times New Roman" w:cs="Times New Roman"/>
          <w:color w:val="auto"/>
          <w:sz w:val="24"/>
          <w:szCs w:val="24"/>
        </w:rPr>
      </w:pPr>
    </w:p>
    <w:p>
      <w:pPr>
        <w:bidi w:val="0"/>
        <w:spacing w:line="360" w:lineRule="auto"/>
        <w:jc w:val="both"/>
        <w:rPr>
          <w:rFonts w:hint="default" w:ascii="Times New Roman" w:hAnsi="Times New Roman" w:cs="Times New Roman"/>
          <w:color w:val="auto"/>
          <w:sz w:val="24"/>
          <w:szCs w:val="24"/>
        </w:rPr>
      </w:pPr>
    </w:p>
    <w:p>
      <w:pPr>
        <w:bidi w:val="0"/>
        <w:spacing w:line="360" w:lineRule="auto"/>
        <w:jc w:val="both"/>
        <w:rPr>
          <w:rFonts w:hint="default" w:ascii="Times New Roman" w:hAnsi="Times New Roman" w:cs="Times New Roman"/>
          <w:color w:val="auto"/>
          <w:sz w:val="24"/>
          <w:szCs w:val="24"/>
        </w:rPr>
      </w:pPr>
    </w:p>
    <w:p>
      <w:pPr>
        <w:bidi w:val="0"/>
        <w:spacing w:line="360" w:lineRule="auto"/>
        <w:jc w:val="both"/>
        <w:rPr>
          <w:rFonts w:hint="default" w:ascii="Times New Roman" w:hAnsi="Times New Roman" w:cs="Times New Roman"/>
          <w:color w:val="auto"/>
          <w:sz w:val="24"/>
          <w:szCs w:val="24"/>
        </w:rPr>
      </w:pPr>
    </w:p>
    <w:p>
      <w:pPr>
        <w:bidi w:val="0"/>
        <w:spacing w:line="360" w:lineRule="auto"/>
        <w:jc w:val="both"/>
        <w:rPr>
          <w:rFonts w:hint="default" w:ascii="Times New Roman" w:hAnsi="Times New Roman" w:cs="Times New Roman"/>
          <w:color w:val="auto"/>
          <w:sz w:val="24"/>
          <w:szCs w:val="24"/>
          <w:lang w:val="en-GB"/>
        </w:rPr>
      </w:pPr>
    </w:p>
    <w:p>
      <w:pPr>
        <w:bidi w:val="0"/>
        <w:spacing w:line="360" w:lineRule="auto"/>
        <w:jc w:val="both"/>
        <w:rPr>
          <w:rFonts w:hint="default" w:ascii="Times New Roman" w:hAnsi="Times New Roman" w:cs="Times New Roman"/>
          <w:color w:val="auto"/>
          <w:sz w:val="24"/>
          <w:szCs w:val="24"/>
        </w:rPr>
      </w:pPr>
    </w:p>
    <w:p>
      <w:pPr>
        <w:bidi w:val="0"/>
        <w:spacing w:line="360" w:lineRule="auto"/>
        <w:jc w:val="both"/>
        <w:rPr>
          <w:rFonts w:hint="default" w:ascii="Times New Roman" w:hAnsi="Times New Roman" w:cs="Times New Roman"/>
          <w:color w:val="auto"/>
          <w:sz w:val="24"/>
          <w:szCs w:val="24"/>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snapToGrid w:val="0"/>
        <w:rPr>
          <w:rFonts w:hint="default"/>
          <w:lang w:val="en-GB"/>
        </w:rPr>
      </w:pPr>
      <w:r>
        <w:rPr>
          <w:rStyle w:val="7"/>
        </w:rPr>
        <w:footnoteRef/>
      </w:r>
      <w:r>
        <w:t xml:space="preserve"> </w:t>
      </w:r>
      <w:r>
        <w:rPr>
          <w:rFonts w:hint="default"/>
          <w:lang w:val="en-GB"/>
        </w:rPr>
        <w:t xml:space="preserve">Blacks law dictionary </w:t>
      </w:r>
    </w:p>
  </w:footnote>
  <w:footnote w:id="1">
    <w:p>
      <w:pPr>
        <w:pStyle w:val="3"/>
        <w:snapToGrid w:val="0"/>
        <w:rPr>
          <w:rFonts w:hint="default"/>
          <w:lang w:val="en-GB"/>
        </w:rPr>
      </w:pPr>
      <w:r>
        <w:rPr>
          <w:rStyle w:val="7"/>
        </w:rPr>
        <w:footnoteRef/>
      </w:r>
      <w:r>
        <w:t xml:space="preserve"> </w:t>
      </w:r>
      <w:r>
        <w:rPr>
          <w:rFonts w:hint="default"/>
          <w:lang w:val="en-GB"/>
        </w:rPr>
        <w:t>(1865) 11</w:t>
      </w:r>
    </w:p>
  </w:footnote>
  <w:footnote w:id="2">
    <w:p>
      <w:pPr>
        <w:pStyle w:val="3"/>
        <w:snapToGrid w:val="0"/>
        <w:rPr>
          <w:rFonts w:hint="default"/>
          <w:lang w:val="en-GB"/>
        </w:rPr>
      </w:pPr>
      <w:r>
        <w:rPr>
          <w:rStyle w:val="7"/>
        </w:rPr>
        <w:footnoteRef/>
      </w:r>
      <w:r>
        <w:t xml:space="preserve"> </w:t>
      </w:r>
      <w:r>
        <w:rPr>
          <w:rFonts w:hint="default"/>
          <w:lang w:val="en-GB"/>
        </w:rPr>
        <w:t>LPERL-3 109(2001) S.C</w:t>
      </w:r>
    </w:p>
  </w:footnote>
  <w:footnote w:id="3">
    <w:p>
      <w:pPr>
        <w:pStyle w:val="3"/>
        <w:snapToGrid w:val="0"/>
        <w:rPr>
          <w:rFonts w:hint="default"/>
          <w:lang w:val="en-GB"/>
        </w:rPr>
      </w:pPr>
      <w:r>
        <w:rPr>
          <w:rStyle w:val="7"/>
        </w:rPr>
        <w:footnoteRef/>
      </w:r>
      <w:r>
        <w:t xml:space="preserve"> </w:t>
      </w:r>
      <w:r>
        <w:rPr>
          <w:rFonts w:hint="default"/>
          <w:lang w:val="en-GB"/>
        </w:rPr>
        <w:t>1842</w:t>
      </w:r>
    </w:p>
  </w:footnote>
  <w:footnote w:id="4">
    <w:p>
      <w:pPr>
        <w:pStyle w:val="3"/>
        <w:snapToGrid w:val="0"/>
        <w:rPr>
          <w:rFonts w:hint="default"/>
          <w:lang w:val="en-GB"/>
        </w:rPr>
      </w:pPr>
      <w:r>
        <w:rPr>
          <w:rStyle w:val="7"/>
        </w:rPr>
        <w:footnoteRef/>
      </w:r>
      <w:r>
        <w:t xml:space="preserve"> </w:t>
      </w:r>
      <w:r>
        <w:rPr>
          <w:rFonts w:hint="default"/>
          <w:lang w:val="en-GB"/>
        </w:rPr>
        <w:t>[1979] 1 S.C.R. 101, at p. 108</w:t>
      </w:r>
      <w:r>
        <w:rPr>
          <w:rFonts w:hint="default" w:ascii="Times New Roman" w:hAnsi="Times New Roman"/>
          <w:caps w:val="0"/>
          <w:color w:val="auto"/>
          <w:spacing w:val="0"/>
          <w:sz w:val="24"/>
          <w:szCs w:val="24"/>
          <w:u w:val="none"/>
          <w:vertAlign w:val="baseline"/>
          <w:lang w:val="en-GB"/>
        </w:rPr>
        <w:t xml:space="preserve"> </w:t>
      </w:r>
    </w:p>
  </w:footnote>
  <w:footnote w:id="5">
    <w:p>
      <w:pPr>
        <w:pStyle w:val="3"/>
        <w:snapToGrid w:val="0"/>
      </w:pPr>
      <w:r>
        <w:rPr>
          <w:rStyle w:val="7"/>
        </w:rPr>
        <w:footnoteRef/>
      </w:r>
      <w:r>
        <w:rPr>
          <w:rFonts w:hint="default"/>
          <w:lang w:val="en-GB"/>
        </w:rPr>
        <w:t xml:space="preserve"> </w:t>
      </w:r>
      <w:r>
        <w:rPr>
          <w:rFonts w:hint="default"/>
        </w:rPr>
        <w:t xml:space="preserve">R. Scott. Jolliffe, “The Common Law Doctrine of Passing Off” in Gordon F. Henderson ed., Trademarks Law of Canada (Toronto: Carswell, 1993) at 206 – 207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CA6D12"/>
    <w:multiLevelType w:val="singleLevel"/>
    <w:tmpl w:val="B2CA6D12"/>
    <w:lvl w:ilvl="0" w:tentative="0">
      <w:start w:val="1"/>
      <w:numFmt w:val="decimal"/>
      <w:suff w:val="space"/>
      <w:lvlText w:val="%1."/>
      <w:lvlJc w:val="left"/>
    </w:lvl>
  </w:abstractNum>
  <w:abstractNum w:abstractNumId="1">
    <w:nsid w:val="2DF271C8"/>
    <w:multiLevelType w:val="singleLevel"/>
    <w:tmpl w:val="2DF271C8"/>
    <w:lvl w:ilvl="0" w:tentative="0">
      <w:start w:val="1"/>
      <w:numFmt w:val="decimal"/>
      <w:suff w:val="space"/>
      <w:lvlText w:val="%1."/>
      <w:lvlJc w:val="left"/>
    </w:lvl>
  </w:abstractNum>
  <w:abstractNum w:abstractNumId="2">
    <w:nsid w:val="48C84161"/>
    <w:multiLevelType w:val="singleLevel"/>
    <w:tmpl w:val="48C84161"/>
    <w:lvl w:ilvl="0" w:tentative="0">
      <w:start w:val="1"/>
      <w:numFmt w:val="decimal"/>
      <w:lvlText w:val="%1."/>
      <w:lvlJc w:val="left"/>
      <w:pPr>
        <w:tabs>
          <w:tab w:val="left" w:pos="312"/>
        </w:tabs>
      </w:pPr>
    </w:lvl>
  </w:abstractNum>
  <w:abstractNum w:abstractNumId="3">
    <w:nsid w:val="65172009"/>
    <w:multiLevelType w:val="singleLevel"/>
    <w:tmpl w:val="65172009"/>
    <w:lvl w:ilvl="0" w:tentative="0">
      <w:start w:val="1"/>
      <w:numFmt w:val="decimal"/>
      <w:suff w:val="space"/>
      <w:lvlText w:val="%1."/>
      <w:lvlJc w:val="left"/>
    </w:lvl>
  </w:abstractNum>
  <w:abstractNum w:abstractNumId="4">
    <w:nsid w:val="6E065ABC"/>
    <w:multiLevelType w:val="singleLevel"/>
    <w:tmpl w:val="6E065ABC"/>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B19C2"/>
    <w:rsid w:val="04AB161B"/>
    <w:rsid w:val="05B40CF9"/>
    <w:rsid w:val="06D96E7A"/>
    <w:rsid w:val="0D8F3B01"/>
    <w:rsid w:val="18450A93"/>
    <w:rsid w:val="191D6359"/>
    <w:rsid w:val="19EF2AE7"/>
    <w:rsid w:val="1A9F3562"/>
    <w:rsid w:val="1C742C83"/>
    <w:rsid w:val="1E754C75"/>
    <w:rsid w:val="1EA07F72"/>
    <w:rsid w:val="25E02CA4"/>
    <w:rsid w:val="2A6B2C9F"/>
    <w:rsid w:val="2D1B7AF2"/>
    <w:rsid w:val="2DC71904"/>
    <w:rsid w:val="2F0F4EC9"/>
    <w:rsid w:val="30193E14"/>
    <w:rsid w:val="30C36CD0"/>
    <w:rsid w:val="321C0D68"/>
    <w:rsid w:val="373834AD"/>
    <w:rsid w:val="38130AED"/>
    <w:rsid w:val="39BB19C2"/>
    <w:rsid w:val="4053146F"/>
    <w:rsid w:val="4162201E"/>
    <w:rsid w:val="41A57CC8"/>
    <w:rsid w:val="41C935F9"/>
    <w:rsid w:val="456F4042"/>
    <w:rsid w:val="471D48C1"/>
    <w:rsid w:val="474670C2"/>
    <w:rsid w:val="48480D2E"/>
    <w:rsid w:val="49B30A41"/>
    <w:rsid w:val="4E4D6576"/>
    <w:rsid w:val="4E8778D6"/>
    <w:rsid w:val="4F3C678A"/>
    <w:rsid w:val="52197790"/>
    <w:rsid w:val="54196589"/>
    <w:rsid w:val="54313ADF"/>
    <w:rsid w:val="59A44573"/>
    <w:rsid w:val="5A513481"/>
    <w:rsid w:val="5ADF1668"/>
    <w:rsid w:val="65471317"/>
    <w:rsid w:val="69B04B37"/>
    <w:rsid w:val="6E034AA0"/>
    <w:rsid w:val="714E4034"/>
    <w:rsid w:val="734D00E8"/>
    <w:rsid w:val="737230A1"/>
    <w:rsid w:val="73BA5391"/>
    <w:rsid w:val="73C44735"/>
    <w:rsid w:val="74EA492F"/>
    <w:rsid w:val="75A55C51"/>
    <w:rsid w:val="75F81025"/>
    <w:rsid w:val="788C5EA2"/>
    <w:rsid w:val="79D230A4"/>
    <w:rsid w:val="7C120615"/>
    <w:rsid w:val="7C4C4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3">
    <w:name w:val="footnote text"/>
    <w:basedOn w:val="1"/>
    <w:uiPriority w:val="0"/>
    <w:pPr>
      <w:snapToGrid w:val="0"/>
      <w:jc w:val="left"/>
    </w:pPr>
    <w:rPr>
      <w:sz w:val="18"/>
      <w:szCs w:val="18"/>
    </w:r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Emphasis"/>
    <w:basedOn w:val="5"/>
    <w:qFormat/>
    <w:uiPriority w:val="0"/>
    <w:rPr>
      <w:i/>
      <w:iCs/>
    </w:rPr>
  </w:style>
  <w:style w:type="character" w:styleId="7">
    <w:name w:val="footnote reference"/>
    <w:basedOn w:val="5"/>
    <w:qFormat/>
    <w:uiPriority w:val="0"/>
    <w:rPr>
      <w:vertAlign w:val="superscript"/>
    </w:rPr>
  </w:style>
  <w:style w:type="character" w:styleId="8">
    <w:name w:val="Hyperlink"/>
    <w:basedOn w:val="5"/>
    <w:qFormat/>
    <w:uiPriority w:val="0"/>
    <w:rPr>
      <w:color w:val="0000FF"/>
      <w:u w:val="single"/>
    </w:rPr>
  </w:style>
  <w:style w:type="character" w:styleId="9">
    <w:name w:val="Strong"/>
    <w:basedOn w:val="5"/>
    <w:qFormat/>
    <w:uiPriority w:val="0"/>
    <w:rPr>
      <w:b/>
      <w:bCs/>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2020-04-30T12:04:00Z</dcterms:created>
  <dc:creator>ml</dc:creator>
  <cp:lastModifiedBy>ml</cp:lastModifiedBy>
  <dcterms:modified xsi:type="dcterms:W3CDTF">2020-05-08T22:17:22Z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