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Ose Ogheneruona </w:t>
      </w:r>
      <w:bookmarkStart w:id="0" w:name="_GoBack"/>
      <w:bookmarkEnd w:id="0"/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18/MHS0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3/013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Anatomy 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Bch 204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Question: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Outline the toxicity valve and the deficiency manifestation of the following mineral</w:t>
      </w:r>
    </w:p>
    <w:p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IRON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Toxicity value: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Toxic effects begin to occur at doses above 10–20 mg/kg of elemental iron. Ingestions of more than 50 mg/kg of elemental iron are associated with severe toxicity.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Deficiency manifestations: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Iron deficiency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anemia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signs and symptoms may include: Extreme fatigue. Weakness. Pale skin.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CHLORIDE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Toxicity value: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mmediate respiratory arrest occurs at 2000 ppm, with the lethal concentration for 50% of exposed animals in the range of 800-1000 ppm. Bronchial constriction occurs in the 200-ppm range, with evidence of effects on ciliary activity at exposure levels as low as 18 ppm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Deficiency manifestations: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Dehydration, fluid loss e.g.( diarrhoea and vomit) , or high levels of blood sodium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MAGNESIUM</w:t>
      </w:r>
    </w:p>
    <w:p>
      <w:pPr>
        <w:spacing w:line="480" w:lineRule="auto"/>
        <w:rPr>
          <w:rFonts w:ascii="Roboto" w:hAnsi="Roboto" w:eastAsia="Times New Roman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Toxicity value:</w:t>
      </w:r>
      <w:r>
        <w:rPr>
          <w:rFonts w:ascii="Roboto" w:hAnsi="Roboto" w:eastAsia="Times New Roman"/>
          <w:b/>
          <w:bCs/>
          <w:color w:val="3C4043"/>
          <w:sz w:val="27"/>
          <w:szCs w:val="27"/>
          <w:shd w:val="clear" w:color="auto" w:fill="FFFFFF"/>
        </w:rPr>
        <w:t xml:space="preserve"> </w:t>
      </w:r>
    </w:p>
    <w:p>
      <w:pPr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Magnesium levels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 between 7 and 12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/dL can impact the heart and lungs, and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 in the upper end of this range may cause extreme fatigue and low blood pressure.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 above 12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/dL can lead to muscle paralysis and hyperventilation. When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 are above 15.6 </w:t>
      </w:r>
      <w:r>
        <w:rPr>
          <w:rFonts w:ascii="Times New Roman" w:hAnsi="Times New Roman" w:eastAsia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/dL, the condition may result in a coma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Deficiency manifestation: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cardiovascular and other disorders: high blood pressure, heart rhythm problems such as atrial fibrillation, cholesterol-clogged coronary arteries, painful spasms of coronary arteries, sudden cardiac arrest, diabetes, osteoporosis, and more.</w:t>
      </w:r>
    </w:p>
    <w:p>
      <w:pPr>
        <w:spacing w:line="48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CALCIUM</w:t>
      </w:r>
    </w:p>
    <w:p>
      <w:pPr>
        <w:spacing w:line="480" w:lineRule="auto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Toxicity value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:</w:t>
      </w:r>
    </w:p>
    <w:p>
      <w:pPr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Hypercalcemia occurs when serum calcium levels are 10.5 mg/dL or 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63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mmol/d</w:t>
      </w:r>
    </w:p>
    <w:p>
      <w:pPr>
        <w:spacing w:line="480" w:lineRule="auto"/>
        <w:ind w:left="72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Deficiency Manifestation:</w:t>
      </w:r>
    </w:p>
    <w:p>
      <w:pPr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Hypercalcemia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commonly known as calcium deficiency disease, occurs when calcium levels in the blood are low. A long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term deficiency can lead to dental changes, cataracts, alterations in the brain, and osteoporosis, which causes the bones to become brittle</w:t>
      </w:r>
    </w:p>
    <w:p>
      <w:pPr>
        <w:pStyle w:val="4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POTASSIUM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oxicity value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 xml:space="preserve">potassium level higher than 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 xml:space="preserve">5.5m 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mol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>/L is critically</w:t>
      </w:r>
      <w:r>
        <w:rPr>
          <w:rFonts w:ascii="Times New Roman" w:hAnsi="Times New Roman" w:eastAsia="Times New Roman" w:cs="Times New Roman"/>
          <w:color w:val="3C4043"/>
          <w:sz w:val="24"/>
          <w:szCs w:val="24"/>
          <w:shd w:val="clear" w:color="auto" w:fill="FFFFFF"/>
        </w:rPr>
        <w:t xml:space="preserve"> high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Deficiency manifestation: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vomiting, diarrhoea</w:t>
      </w:r>
    </w:p>
    <w:p>
      <w:pPr>
        <w:pStyle w:val="4"/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814"/>
    <w:multiLevelType w:val="multilevel"/>
    <w:tmpl w:val="33DE181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2020-05-06T14:30:00Z</dcterms:created>
  <dc:creator>Ehondor Malcolm</dc:creator>
  <cp:lastModifiedBy>Rohna</cp:lastModifiedBy>
  <dcterms:modified xsi:type="dcterms:W3CDTF">2020-05-08T06:15:27Z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