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Onwudike Rosebell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Matric No: 16/mhs01/209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Assignment Title: Emergency Nursing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Course Title: Advanced Medical/ Surgical Nursing II Course Code: NSC 408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Question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Read about Emergency Nursing and answer the following questions. Your submission must be typed (maximum of 4 pages) and uploaded as an attachment.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Management of cardiac arrest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Management of carbon monoxide poisoning  3.Management of epistaxis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4. Management of foreign body in the eye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ANSWERS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1)Management of cardiac arrest: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Position patient in a recumbent state, on a flat hard surface tilt the hand backwards.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Remove tight clothes.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Strike a pre-cordial bow with the fist on the patient’s sternum.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Start resuscitation mouth to mouth and chest compression, ration one person. 15 compressions per 2 lung ventilations two persons: 4-5 compression / 1 ventilation.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Observe carotid pulse rate, skin color and return to normal respiration.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If in hospital, airway should be inserted. Arrange for medical aid.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2)Management of carbonmonoxide poisoning: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Get the Person to Fresh Air.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Move the person away from carbon monoxide area.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If the person is unconscious, check for injuries before moving.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Turn off carbon monoxide source if you can do so safely.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Call medical aid center.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Begin CPR if necessary; If the person is unresponsive, not breathing, or not breathing normally: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Perform CPR for one minute before calling 911 if you are alone. Otherwise, have someone else call and begin CPR.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Continue CPR until the person begins breathing or emergency help arrives.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Follow up; Once at the hospital, the person is treated with 100% oxygen. Depending on the severity of the carbon monoxide exposure, oxygen is delivered in different ways.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Mild poisoning is treated with oxygen delivered by a mask.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Severe carbon monoxide poisoning may require placing the person in a full body, high pressure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chamber to help force oxygen into the body.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3)Management of epistaxis: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Assess the site of bleeding from the nose. Reassure patient and relative appropriately.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Sit victim down with the head forward to prevent swallowing and aspiration of blood.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Loosen tight clothing round the neck and chest. Place the patient in well lit and ventilated area.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Instruct victim to breathe through the mouth and pinch the nose for 10 to 15 minutes.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Partially insert a small gauze pad into the nostril and apply digital pressure if bleeding continues.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Apply ice compress to dorstum/bridge of the nose.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Instruct victim not to speak/swallow/cough spit or sniff or blow the nose as any of these may disturb blood clot formation.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Gently clean the nostril to mop up dribble.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Where available adrenaline nasal pack is prepared and inserted to help constrict blood vessels.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Arrange for medical aid.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4)Management of foreign body in the eye: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Sit patient down, facing the light;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Provide reassurance and advise the patient not to rub the eye;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Stand behind the patient and gently tilt their head backwards;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Using the finger and thumb, separate the eyelids gently and examine the eye; If a foreign body is seen on the conjunctiva, irrigate the eye with clean water;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If irrigation fails, lift the foreign body off using a moist swab or the damp corner of a clean handkerchief or similar. Using a sterile cotton-wool bud is advocated , but one may not be available;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If it is suspected that there is a foreign body underneath the upper eyelid, ask the casualty to gently pinch their eyebrow and pull the upper eyelid over the lower eyelid.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