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  <w:r>
        <w:rPr>
          <w:rtl w:val="0"/>
        </w:rPr>
        <w:t xml:space="preserve">Name: Oru Kaymor Augustine </w:t>
      </w:r>
    </w:p>
    <w:p>
      <w:pPr>
        <w:pStyle w:val="Body"/>
        <w:bidi w:val="0"/>
      </w:pPr>
      <w:r>
        <w:rPr>
          <w:rtl w:val="0"/>
        </w:rPr>
        <w:t>Mat no: 18/mhs01/317</w:t>
      </w:r>
    </w:p>
    <w:p>
      <w:pPr>
        <w:pStyle w:val="Body"/>
        <w:bidi w:val="0"/>
      </w:pPr>
      <w:r>
        <w:rPr>
          <w:rtl w:val="0"/>
        </w:rPr>
        <w:t xml:space="preserve">Course: Embryology </w:t>
      </w:r>
    </w:p>
    <w:p>
      <w:pPr>
        <w:pStyle w:val="Body"/>
        <w:bidi w:val="0"/>
      </w:pPr>
      <w:r>
        <w:rPr>
          <w:rtl w:val="0"/>
        </w:rPr>
        <w:t xml:space="preserve">Dep: Mbbs </w:t>
      </w:r>
    </w:p>
    <w:p>
      <w:pPr>
        <w:pStyle w:val="Body"/>
        <w:bidi w:val="0"/>
      </w:pPr>
      <w:r>
        <w:rPr>
          <w:rtl w:val="0"/>
        </w:rPr>
        <w:t>Level: 200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Assignment on Second Week of Development </w:t>
      </w:r>
    </w:p>
    <w:p>
      <w:pPr>
        <w:pStyle w:val="Body"/>
        <w:bidi w:val="0"/>
      </w:pPr>
    </w:p>
    <w:p>
      <w:pPr>
        <w:pStyle w:val="Body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 xml:space="preserve">Second week Of Development </w:t>
      </w:r>
    </w:p>
    <w:p>
      <w:pPr>
        <w:pStyle w:val="Default"/>
        <w:bidi w:val="0"/>
        <w:ind w:left="0" w:right="0" w:firstLine="0"/>
        <w:jc w:val="both"/>
        <w:rPr>
          <w:rFonts w:ascii="Trebuchet MS" w:cs="Trebuchet MS" w:hAnsi="Trebuchet MS" w:eastAsia="Trebuchet MS"/>
          <w:b w:val="1"/>
          <w:bCs w:val="1"/>
          <w:sz w:val="24"/>
          <w:szCs w:val="24"/>
          <w:u w:val="single"/>
          <w:rtl w:val="0"/>
        </w:rPr>
      </w:pPr>
      <w:r>
        <w:rPr>
          <w:rFonts w:ascii="Trebuchet MS" w:hAnsi="Trebuchet MS"/>
          <w:b w:val="1"/>
          <w:bCs w:val="1"/>
          <w:sz w:val="24"/>
          <w:szCs w:val="24"/>
          <w:u w:val="single"/>
          <w:rtl w:val="0"/>
          <w:lang w:val="en-US"/>
        </w:rPr>
        <w:t>Trophoblast</w:t>
      </w:r>
    </w:p>
    <w:p>
      <w:pPr>
        <w:pStyle w:val="Default"/>
        <w:bidi w:val="0"/>
        <w:ind w:left="0" w:right="0" w:firstLine="0"/>
        <w:jc w:val="both"/>
        <w:rPr>
          <w:rFonts w:ascii="Trebuchet MS" w:cs="Trebuchet MS" w:hAnsi="Trebuchet MS" w:eastAsia="Trebuchet MS"/>
          <w:sz w:val="24"/>
          <w:szCs w:val="24"/>
          <w:rtl w:val="0"/>
        </w:rPr>
      </w:pPr>
      <w:r>
        <w:rPr>
          <w:rFonts w:ascii="Trebuchet MS" w:hAnsi="Trebuchet MS"/>
          <w:sz w:val="24"/>
          <w:szCs w:val="24"/>
          <w:rtl w:val="0"/>
          <w:lang w:val="en-US"/>
        </w:rPr>
        <w:t>As the blastocyst embeds itself in the endrometrium it differentiates into two layers: the cytotrophoblast (inner) and syncytiotrophoblast (outer). The syncytiotrophoblast invades into the maternal endrometrium, and in this sense it is more invasive than any tumor tissue.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 xml:space="preserve">  </w:t>
      </w:r>
      <w:r>
        <w:rPr>
          <w:rFonts w:ascii="Trebuchet MS" w:hAnsi="Trebuchet MS"/>
          <w:sz w:val="24"/>
          <w:szCs w:val="24"/>
          <w:rtl w:val="0"/>
          <w:lang w:val="en-US"/>
        </w:rPr>
        <w:t>As it comes into contact with blood vessels it creates lacunae, or spaces which fill with maternal blood.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 xml:space="preserve">  </w:t>
      </w:r>
      <w:r>
        <w:rPr>
          <w:rFonts w:ascii="Trebuchet MS" w:hAnsi="Trebuchet MS"/>
          <w:sz w:val="24"/>
          <w:szCs w:val="24"/>
          <w:rtl w:val="0"/>
          <w:lang w:val="en-US"/>
        </w:rPr>
        <w:t>These lacunae fuse to form lacunar networks. The maternal blood that flows in and out of these networks exchanges nutrients and waste products with the fetus, forming the basis of a primitive uteroplacental circulation.</w:t>
      </w:r>
    </w:p>
    <w:p>
      <w:pPr>
        <w:pStyle w:val="Default"/>
        <w:bidi w:val="0"/>
        <w:ind w:left="0" w:right="0" w:firstLine="0"/>
        <w:jc w:val="both"/>
        <w:rPr>
          <w:rFonts w:ascii="Trebuchet MS" w:cs="Trebuchet MS" w:hAnsi="Trebuchet MS" w:eastAsia="Trebuchet MS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both"/>
        <w:rPr>
          <w:rFonts w:ascii="Trebuchet MS" w:cs="Trebuchet MS" w:hAnsi="Trebuchet MS" w:eastAsia="Trebuchet MS"/>
          <w:b w:val="1"/>
          <w:bCs w:val="1"/>
          <w:sz w:val="24"/>
          <w:szCs w:val="24"/>
          <w:u w:val="single"/>
          <w:rtl w:val="0"/>
        </w:rPr>
      </w:pPr>
      <w:r>
        <w:rPr>
          <w:rFonts w:ascii="Trebuchet MS" w:hAnsi="Trebuchet MS"/>
          <w:b w:val="1"/>
          <w:bCs w:val="1"/>
          <w:sz w:val="24"/>
          <w:szCs w:val="24"/>
          <w:u w:val="single"/>
          <w:rtl w:val="0"/>
          <w:lang w:val="en-US"/>
        </w:rPr>
        <w:t>Syncytiotrophoblast</w:t>
      </w:r>
    </w:p>
    <w:p>
      <w:pPr>
        <w:pStyle w:val="Default"/>
        <w:bidi w:val="0"/>
        <w:ind w:left="0" w:right="0" w:firstLine="0"/>
        <w:jc w:val="both"/>
        <w:rPr>
          <w:rFonts w:ascii="Trebuchet MS" w:cs="Trebuchet MS" w:hAnsi="Trebuchet MS" w:eastAsia="Trebuchet MS"/>
          <w:sz w:val="24"/>
          <w:szCs w:val="24"/>
          <w:rtl w:val="0"/>
        </w:rPr>
      </w:pPr>
      <w:r>
        <w:rPr>
          <w:rFonts w:ascii="Trebuchet MS" w:hAnsi="Trebuchet MS"/>
          <w:sz w:val="24"/>
          <w:szCs w:val="24"/>
          <w:rtl w:val="0"/>
          <w:lang w:val="en-US"/>
        </w:rPr>
        <w:t>The syncytiotrophoblast is acellular and does not expand mitotically.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 xml:space="preserve">  </w:t>
      </w:r>
      <w:r>
        <w:rPr>
          <w:rFonts w:ascii="Trebuchet MS" w:hAnsi="Trebuchet MS"/>
          <w:sz w:val="24"/>
          <w:szCs w:val="24"/>
          <w:rtl w:val="0"/>
          <w:lang w:val="en-US"/>
        </w:rPr>
        <w:t>The syncytiotrophoblast produces human chorionic gonadotrophin (hCG), a glycoprotein hormone that stimulates the production of progesterone by the corpus luteum.</w:t>
      </w:r>
    </w:p>
    <w:p>
      <w:pPr>
        <w:pStyle w:val="Default"/>
        <w:bidi w:val="0"/>
        <w:ind w:left="0" w:right="0" w:firstLine="0"/>
        <w:jc w:val="both"/>
        <w:rPr>
          <w:rFonts w:ascii="Trebuchet MS" w:cs="Trebuchet MS" w:hAnsi="Trebuchet MS" w:eastAsia="Trebuchet MS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both"/>
        <w:rPr>
          <w:rFonts w:ascii="Trebuchet MS" w:cs="Trebuchet MS" w:hAnsi="Trebuchet MS" w:eastAsia="Trebuchet MS"/>
          <w:b w:val="1"/>
          <w:bCs w:val="1"/>
          <w:sz w:val="24"/>
          <w:szCs w:val="24"/>
          <w:u w:val="single"/>
          <w:rtl w:val="0"/>
        </w:rPr>
      </w:pPr>
      <w:r>
        <w:rPr>
          <w:rFonts w:ascii="Trebuchet MS" w:hAnsi="Trebuchet MS"/>
          <w:b w:val="1"/>
          <w:bCs w:val="1"/>
          <w:sz w:val="24"/>
          <w:szCs w:val="24"/>
          <w:u w:val="single"/>
          <w:rtl w:val="0"/>
          <w:lang w:val="en-US"/>
        </w:rPr>
        <w:t>Cytotrophoblast</w:t>
      </w:r>
    </w:p>
    <w:p>
      <w:pPr>
        <w:pStyle w:val="Default"/>
        <w:bidi w:val="0"/>
        <w:ind w:left="0" w:right="0" w:firstLine="0"/>
        <w:jc w:val="both"/>
        <w:rPr>
          <w:rFonts w:ascii="Trebuchet MS" w:cs="Trebuchet MS" w:hAnsi="Trebuchet MS" w:eastAsia="Trebuchet MS"/>
          <w:sz w:val="24"/>
          <w:szCs w:val="24"/>
          <w:rtl w:val="0"/>
        </w:rPr>
      </w:pPr>
      <w:r>
        <w:rPr>
          <w:rFonts w:ascii="Trebuchet MS" w:hAnsi="Trebuchet MS"/>
          <w:sz w:val="24"/>
          <w:szCs w:val="24"/>
          <w:rtl w:val="0"/>
          <w:lang w:val="en-US"/>
        </w:rPr>
        <w:t>The cytotrophoblast is cellular and expands mitotically into the syncytiotrophoblast to form primary chorionic villi.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 xml:space="preserve">  </w:t>
      </w:r>
      <w:r>
        <w:rPr>
          <w:rFonts w:ascii="Trebuchet MS" w:hAnsi="Trebuchet MS"/>
          <w:sz w:val="24"/>
          <w:szCs w:val="24"/>
          <w:rtl w:val="0"/>
          <w:lang w:val="en-US"/>
        </w:rPr>
        <w:t>Cells from these villi can be removed for early genetic testing at some risk to the fetus (chorionic villus sampling).</w:t>
      </w:r>
    </w:p>
    <w:p>
      <w:pPr>
        <w:pStyle w:val="Default"/>
        <w:bidi w:val="0"/>
        <w:ind w:left="0" w:right="0" w:firstLine="0"/>
        <w:jc w:val="both"/>
        <w:rPr>
          <w:rFonts w:ascii="Trebuchet MS" w:cs="Trebuchet MS" w:hAnsi="Trebuchet MS" w:eastAsia="Trebuchet MS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both"/>
        <w:rPr>
          <w:rFonts w:ascii="Trebuchet MS" w:cs="Trebuchet MS" w:hAnsi="Trebuchet MS" w:eastAsia="Trebuchet MS"/>
          <w:b w:val="1"/>
          <w:bCs w:val="1"/>
          <w:sz w:val="24"/>
          <w:szCs w:val="24"/>
          <w:u w:val="single"/>
          <w:rtl w:val="0"/>
        </w:rPr>
      </w:pPr>
      <w:r>
        <w:rPr>
          <w:rFonts w:ascii="Trebuchet MS" w:hAnsi="Trebuchet MS"/>
          <w:b w:val="1"/>
          <w:bCs w:val="1"/>
          <w:sz w:val="24"/>
          <w:szCs w:val="24"/>
          <w:u w:val="single"/>
          <w:rtl w:val="0"/>
          <w:lang w:val="en-US"/>
        </w:rPr>
        <w:t>Embryoblast</w:t>
      </w:r>
    </w:p>
    <w:p>
      <w:pPr>
        <w:pStyle w:val="Default"/>
        <w:bidi w:val="0"/>
        <w:ind w:left="0" w:right="0" w:firstLine="0"/>
        <w:jc w:val="both"/>
        <w:rPr>
          <w:rFonts w:ascii="Trebuchet MS" w:cs="Trebuchet MS" w:hAnsi="Trebuchet MS" w:eastAsia="Trebuchet MS"/>
          <w:sz w:val="24"/>
          <w:szCs w:val="24"/>
          <w:rtl w:val="0"/>
        </w:rPr>
      </w:pPr>
      <w:r>
        <w:rPr>
          <w:rFonts w:ascii="Trebuchet MS" w:hAnsi="Trebuchet MS"/>
          <w:sz w:val="24"/>
          <w:szCs w:val="24"/>
          <w:rtl w:val="0"/>
          <w:lang w:val="en-US"/>
        </w:rPr>
        <w:t>After implantation, the inner cell mass subdivides into a bilaminar disc consisting of the hypoblast and epiblast.</w:t>
      </w:r>
    </w:p>
    <w:p>
      <w:pPr>
        <w:pStyle w:val="Default"/>
        <w:bidi w:val="0"/>
        <w:ind w:left="0" w:right="0" w:firstLine="0"/>
        <w:jc w:val="both"/>
        <w:rPr>
          <w:rFonts w:ascii="Trebuchet MS" w:cs="Trebuchet MS" w:hAnsi="Trebuchet MS" w:eastAsia="Trebuchet MS"/>
          <w:sz w:val="24"/>
          <w:szCs w:val="24"/>
          <w:rtl w:val="0"/>
        </w:rPr>
      </w:pPr>
      <w:r>
        <w:rPr>
          <w:rFonts w:ascii="Trebuchet MS" w:hAnsi="Trebuchet MS"/>
          <w:sz w:val="24"/>
          <w:szCs w:val="24"/>
          <w:rtl w:val="0"/>
          <w:lang w:val="en-US"/>
        </w:rPr>
        <w:t>Hypoblast</w:t>
      </w:r>
    </w:p>
    <w:p>
      <w:pPr>
        <w:pStyle w:val="Default"/>
        <w:bidi w:val="0"/>
        <w:ind w:left="0" w:right="0" w:firstLine="0"/>
        <w:jc w:val="both"/>
        <w:rPr>
          <w:rFonts w:ascii="Trebuchet MS" w:cs="Trebuchet MS" w:hAnsi="Trebuchet MS" w:eastAsia="Trebuchet MS"/>
          <w:sz w:val="24"/>
          <w:szCs w:val="24"/>
          <w:rtl w:val="0"/>
        </w:rPr>
      </w:pPr>
      <w:r>
        <w:rPr>
          <w:rFonts w:ascii="Trebuchet MS" w:hAnsi="Trebuchet MS"/>
          <w:sz w:val="24"/>
          <w:szCs w:val="24"/>
          <w:rtl w:val="0"/>
          <w:lang w:val="en-US"/>
        </w:rPr>
        <w:t>Hypoblast cells migrate along the inner surface of the cytotrophoblast and will form the primary yolk sac.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 xml:space="preserve">  </w:t>
      </w:r>
      <w:r>
        <w:rPr>
          <w:rFonts w:ascii="Trebuchet MS" w:hAnsi="Trebuchet MS"/>
          <w:sz w:val="24"/>
          <w:szCs w:val="24"/>
          <w:rtl w:val="0"/>
          <w:lang w:val="en-US"/>
        </w:rPr>
        <w:t>The primary yolk sac becomes reduced in size and is known as the secondary yolk sac.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 xml:space="preserve">  </w:t>
      </w:r>
      <w:r>
        <w:rPr>
          <w:rFonts w:ascii="Trebuchet MS" w:hAnsi="Trebuchet MS"/>
          <w:sz w:val="24"/>
          <w:szCs w:val="24"/>
          <w:rtl w:val="0"/>
          <w:lang w:val="en-US"/>
        </w:rPr>
        <w:t>In humans the yolk sac contains no yolk but is important for the transfer of nutrients between the fetus and mother.</w:t>
      </w:r>
    </w:p>
    <w:p>
      <w:pPr>
        <w:pStyle w:val="Default"/>
        <w:bidi w:val="0"/>
        <w:ind w:left="0" w:right="0" w:firstLine="0"/>
        <w:jc w:val="both"/>
        <w:rPr>
          <w:rFonts w:ascii="Trebuchet MS" w:cs="Trebuchet MS" w:hAnsi="Trebuchet MS" w:eastAsia="Trebuchet MS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both"/>
        <w:rPr>
          <w:rFonts w:ascii="Trebuchet MS" w:cs="Trebuchet MS" w:hAnsi="Trebuchet MS" w:eastAsia="Trebuchet MS"/>
          <w:b w:val="1"/>
          <w:bCs w:val="1"/>
          <w:sz w:val="24"/>
          <w:szCs w:val="24"/>
          <w:u w:val="single"/>
          <w:rtl w:val="0"/>
        </w:rPr>
      </w:pPr>
      <w:r>
        <w:rPr>
          <w:rFonts w:ascii="Trebuchet MS" w:hAnsi="Trebuchet MS"/>
          <w:b w:val="1"/>
          <w:bCs w:val="1"/>
          <w:sz w:val="24"/>
          <w:szCs w:val="24"/>
          <w:u w:val="single"/>
          <w:rtl w:val="0"/>
          <w:lang w:val="en-US"/>
        </w:rPr>
        <w:t>Epiblast</w:t>
      </w:r>
    </w:p>
    <w:p>
      <w:pPr>
        <w:pStyle w:val="Default"/>
        <w:bidi w:val="0"/>
        <w:ind w:left="0" w:right="0" w:firstLine="0"/>
        <w:jc w:val="both"/>
        <w:rPr>
          <w:rFonts w:ascii="Trebuchet MS" w:cs="Trebuchet MS" w:hAnsi="Trebuchet MS" w:eastAsia="Trebuchet MS"/>
          <w:sz w:val="24"/>
          <w:szCs w:val="24"/>
          <w:rtl w:val="0"/>
        </w:rPr>
      </w:pPr>
      <w:r>
        <w:rPr>
          <w:rFonts w:ascii="Trebuchet MS" w:hAnsi="Trebuchet MS"/>
          <w:sz w:val="24"/>
          <w:szCs w:val="24"/>
          <w:rtl w:val="0"/>
          <w:lang w:val="en-US"/>
        </w:rPr>
        <w:t>Epiblast cells cavitate to form the amnion, an extra-embryonic epithelial membrane covering the embryo and amniotic cavity.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 xml:space="preserve">  </w:t>
      </w:r>
      <w:r>
        <w:rPr>
          <w:rFonts w:ascii="Trebuchet MS" w:hAnsi="Trebuchet MS"/>
          <w:sz w:val="24"/>
          <w:szCs w:val="24"/>
          <w:rtl w:val="0"/>
          <w:lang w:val="en-US"/>
        </w:rPr>
        <w:t>Cells from the epiblast will also eventually form the body of the embryo.</w:t>
      </w:r>
    </w:p>
    <w:p>
      <w:pPr>
        <w:pStyle w:val="Default"/>
        <w:bidi w:val="0"/>
        <w:ind w:left="0" w:right="0" w:firstLine="0"/>
        <w:jc w:val="both"/>
        <w:rPr>
          <w:rFonts w:ascii="Trebuchet MS" w:cs="Trebuchet MS" w:hAnsi="Trebuchet MS" w:eastAsia="Trebuchet MS"/>
          <w:b w:val="1"/>
          <w:bCs w:val="1"/>
          <w:sz w:val="24"/>
          <w:szCs w:val="24"/>
          <w:u w:val="single"/>
          <w:rtl w:val="0"/>
        </w:rPr>
      </w:pPr>
      <w:r>
        <w:rPr>
          <w:rFonts w:ascii="Trebuchet MS" w:hAnsi="Trebuchet MS"/>
          <w:b w:val="1"/>
          <w:bCs w:val="1"/>
          <w:sz w:val="24"/>
          <w:szCs w:val="24"/>
          <w:u w:val="single"/>
          <w:rtl w:val="0"/>
          <w:lang w:val="en-US"/>
        </w:rPr>
        <w:t>Extra-embryonic mesoderm</w:t>
      </w:r>
    </w:p>
    <w:p>
      <w:pPr>
        <w:pStyle w:val="Default"/>
        <w:bidi w:val="0"/>
        <w:ind w:left="0" w:right="0" w:firstLine="0"/>
        <w:jc w:val="both"/>
        <w:rPr>
          <w:rFonts w:ascii="Trebuchet MS" w:cs="Trebuchet MS" w:hAnsi="Trebuchet MS" w:eastAsia="Trebuchet MS"/>
          <w:sz w:val="24"/>
          <w:szCs w:val="24"/>
          <w:rtl w:val="0"/>
        </w:rPr>
      </w:pPr>
      <w:r>
        <w:rPr>
          <w:rFonts w:ascii="Trebuchet MS" w:hAnsi="Trebuchet MS"/>
          <w:sz w:val="24"/>
          <w:szCs w:val="24"/>
          <w:rtl w:val="0"/>
          <w:lang w:val="en-US"/>
        </w:rPr>
        <w:t>Extra-embryonic mesoderm cells migrate between the cytotrophoblast and yolk sac and amnion. Extraembryonic somatic mesoderm lines the cytotrophoblast and covers the amnion is.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 xml:space="preserve">  </w:t>
      </w:r>
      <w:r>
        <w:rPr>
          <w:rFonts w:ascii="Trebuchet MS" w:hAnsi="Trebuchet MS"/>
          <w:sz w:val="24"/>
          <w:szCs w:val="24"/>
          <w:rtl w:val="0"/>
          <w:lang w:val="en-US"/>
        </w:rPr>
        <w:t>Extraembryonic somatic mesoderm also forms the connecting stalk that is the primordium of the umbilical cord.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 xml:space="preserve">  </w:t>
      </w:r>
      <w:r>
        <w:rPr>
          <w:rFonts w:ascii="Trebuchet MS" w:hAnsi="Trebuchet MS"/>
          <w:sz w:val="24"/>
          <w:szCs w:val="24"/>
          <w:rtl w:val="0"/>
          <w:lang w:val="en-US"/>
        </w:rPr>
        <w:t>Extraembryonic visceral mesoderm covers the yolk sac.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 </w:t>
      </w:r>
    </w:p>
    <w:p>
      <w:pPr>
        <w:pStyle w:val="Default"/>
        <w:bidi w:val="0"/>
        <w:ind w:left="0" w:right="0" w:firstLine="0"/>
        <w:jc w:val="both"/>
        <w:rPr>
          <w:rtl w:val="0"/>
        </w:rPr>
      </w:pPr>
      <w:r>
        <w:rPr>
          <w:rFonts w:ascii="Trebuchet MS" w:hAnsi="Trebuchet MS"/>
          <w:sz w:val="24"/>
          <w:szCs w:val="24"/>
          <w:rtl w:val="0"/>
          <w:lang w:val="en-US"/>
        </w:rPr>
        <w:t>At the end of the second week it is possible to distinguish the dorsal (amniotic cavity) from the ventral (yolk sac) side of the embryo.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