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9389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Purpose</w:t>
      </w:r>
      <w:r>
        <w:rPr>
          <w:b/>
          <w:bCs/>
          <w:caps/>
          <w:sz w:val="28"/>
          <w:szCs w:val="28"/>
        </w:rPr>
        <w:t xml:space="preserve"> of </w:t>
      </w:r>
      <w:r>
        <w:rPr>
          <w:b/>
          <w:bCs/>
          <w:caps/>
          <w:sz w:val="28"/>
          <w:szCs w:val="28"/>
        </w:rPr>
        <w:t xml:space="preserve">fixation </w:t>
      </w:r>
    </w:p>
    <w:p w:rsidR="00000000" w:rsidRDefault="00F93893">
      <w:pPr>
        <w:rPr>
          <w:sz w:val="24"/>
          <w:szCs w:val="24"/>
        </w:rPr>
      </w:pPr>
      <w:r>
        <w:rPr>
          <w:sz w:val="24"/>
          <w:szCs w:val="24"/>
        </w:rPr>
        <w:t>In performing their protective role, fixatives denature proteins by coagulation, by forming additive compounds, or by a combination of coagulation and additive processes. A compound that adds chemically to macromolecules stabilizes str</w:t>
      </w:r>
      <w:r>
        <w:rPr>
          <w:sz w:val="24"/>
          <w:szCs w:val="24"/>
        </w:rPr>
        <w:t xml:space="preserve">ucture most effectively if it is able to combine with parts of two different macromolecules, an effect known as cross-linking. </w:t>
      </w:r>
      <w:r>
        <w:rPr>
          <w:sz w:val="24"/>
          <w:szCs w:val="24"/>
        </w:rPr>
        <w:t>Fixatives have different actions e.g. crosslinking, precipitative, coagulative etc. They also have different penetration rates, u</w:t>
      </w:r>
      <w:r>
        <w:rPr>
          <w:sz w:val="24"/>
          <w:szCs w:val="24"/>
        </w:rPr>
        <w:t>sually measured in depth penetrated per mm per hour. Normally recommended fixing is in 20x the volume of fixative to tissue and fix for consistent periods of time- for example, samples of 0.5 cm thick are fixed in at least one dimension for 24 hours in Neu</w:t>
      </w:r>
      <w:r>
        <w:rPr>
          <w:sz w:val="24"/>
          <w:szCs w:val="24"/>
        </w:rPr>
        <w:t xml:space="preserve">tral Buffered Formalin, or for 6 hours in </w:t>
      </w:r>
      <w:proofErr w:type="spellStart"/>
      <w:r>
        <w:rPr>
          <w:sz w:val="24"/>
          <w:szCs w:val="24"/>
        </w:rPr>
        <w:t>Bouins</w:t>
      </w:r>
      <w:proofErr w:type="spellEnd"/>
      <w:r>
        <w:rPr>
          <w:sz w:val="24"/>
          <w:szCs w:val="24"/>
        </w:rPr>
        <w:t xml:space="preserve"> fluid. Then samples are transferred into 70% ethanol (the first stage in many routine paraffin processing protocols) prior to processing. </w:t>
      </w:r>
      <w:r>
        <w:rPr>
          <w:sz w:val="24"/>
          <w:szCs w:val="24"/>
        </w:rPr>
        <w:t>Fixation of tissue is done for several reasons. One reason is to kill</w:t>
      </w:r>
      <w:r>
        <w:rPr>
          <w:sz w:val="24"/>
          <w:szCs w:val="24"/>
        </w:rPr>
        <w:t xml:space="preserve"> the tissue so that postmortem decay (autolysis and putrefaction) is prevented.</w:t>
      </w:r>
      <w:r>
        <w:rPr>
          <w:sz w:val="24"/>
          <w:szCs w:val="24"/>
        </w:rPr>
        <w:t xml:space="preserve"> Fixation preserves biological material (tissue or cells) as close to its natural state as possible in the process of preparing tissue for examination. To achieve this, several </w:t>
      </w:r>
      <w:r>
        <w:rPr>
          <w:sz w:val="24"/>
          <w:szCs w:val="24"/>
        </w:rPr>
        <w:t>conditions usually must be met.</w:t>
      </w:r>
    </w:p>
    <w:p w:rsidR="00000000" w:rsidRDefault="00F93893">
      <w:pPr>
        <w:rPr>
          <w:sz w:val="24"/>
          <w:szCs w:val="24"/>
        </w:rPr>
      </w:pPr>
      <w:r>
        <w:rPr>
          <w:sz w:val="24"/>
          <w:szCs w:val="24"/>
        </w:rPr>
        <w:t>First, a fixative usually acts to disable intrinsic biomolecules—particularly proteolytic enzymes—which otherwise digest or damage the sample.</w:t>
      </w:r>
    </w:p>
    <w:p w:rsidR="00000000" w:rsidRDefault="00F93893">
      <w:pPr>
        <w:rPr>
          <w:sz w:val="24"/>
          <w:szCs w:val="24"/>
        </w:rPr>
      </w:pPr>
      <w:r>
        <w:rPr>
          <w:sz w:val="24"/>
          <w:szCs w:val="24"/>
        </w:rPr>
        <w:t>Second, a fixative typically protects a sample from extrinsic damage. Fixatives a</w:t>
      </w:r>
      <w:r>
        <w:rPr>
          <w:sz w:val="24"/>
          <w:szCs w:val="24"/>
        </w:rPr>
        <w:t>re toxic to most common microorganisms (bacteria in particular) that might exist in a tissue sample or which might otherwise colonize the fixed tissue. In addition, many fixatives chemically alter the fixed material to make it less palatable (either indige</w:t>
      </w:r>
      <w:r>
        <w:rPr>
          <w:sz w:val="24"/>
          <w:szCs w:val="24"/>
        </w:rPr>
        <w:t>stible or toxic) to opportunistic microorganisms.</w:t>
      </w:r>
    </w:p>
    <w:p w:rsidR="00000000" w:rsidRDefault="00F93893">
      <w:pPr>
        <w:rPr>
          <w:sz w:val="24"/>
          <w:szCs w:val="24"/>
        </w:rPr>
      </w:pPr>
      <w:r>
        <w:rPr>
          <w:sz w:val="24"/>
          <w:szCs w:val="24"/>
        </w:rPr>
        <w:t xml:space="preserve">Finally, fixatives often alter the cells or tissues on a molecular level to increase their mechanical strength or stability. This increased strength and rigidity can help preserve the morphology (shape and </w:t>
      </w:r>
      <w:r>
        <w:rPr>
          <w:sz w:val="24"/>
          <w:szCs w:val="24"/>
        </w:rPr>
        <w:t>structure) of the sample as it is processed for further analysis.</w:t>
      </w:r>
    </w:p>
    <w:p w:rsidR="00000000" w:rsidRDefault="00F93893">
      <w:pPr>
        <w:rPr>
          <w:sz w:val="24"/>
          <w:szCs w:val="24"/>
        </w:rPr>
      </w:pPr>
      <w:r>
        <w:rPr>
          <w:sz w:val="24"/>
          <w:szCs w:val="24"/>
        </w:rPr>
        <w:t>Fixation improves the optical differentiation of the tissues. This is actually done by altering the refractive index by varying degrees. This is of real importance since the refractive indic</w:t>
      </w:r>
      <w:r>
        <w:rPr>
          <w:sz w:val="24"/>
          <w:szCs w:val="24"/>
        </w:rPr>
        <w:t>es of some of the cellular components are so close to that of the surrounding structure which renders them invisible in the living state when examined under the microscope.</w:t>
      </w:r>
    </w:p>
    <w:p w:rsidR="00000000" w:rsidRDefault="00F93893">
      <w:pPr>
        <w:rPr>
          <w:sz w:val="24"/>
          <w:szCs w:val="24"/>
        </w:rPr>
      </w:pPr>
      <w:r>
        <w:rPr>
          <w:sz w:val="24"/>
          <w:szCs w:val="24"/>
        </w:rPr>
        <w:t>Even the most careful fixation does alter the sample and introduce artifacts that c</w:t>
      </w:r>
      <w:r>
        <w:rPr>
          <w:sz w:val="24"/>
          <w:szCs w:val="24"/>
        </w:rPr>
        <w:t xml:space="preserve">an interfere with interpretation of cellular ultrastructure. A prominent example is the bacterial </w:t>
      </w:r>
      <w:proofErr w:type="spellStart"/>
      <w:r>
        <w:rPr>
          <w:sz w:val="24"/>
          <w:szCs w:val="24"/>
        </w:rPr>
        <w:t>mesosome</w:t>
      </w:r>
      <w:proofErr w:type="spellEnd"/>
      <w:r>
        <w:rPr>
          <w:sz w:val="24"/>
          <w:szCs w:val="24"/>
        </w:rPr>
        <w:t>, which was thought to be an organelle in gram-positive bacteria in the 1970s, but was later shown by new techniques developed for electron microscopy</w:t>
      </w:r>
      <w:r>
        <w:rPr>
          <w:sz w:val="24"/>
          <w:szCs w:val="24"/>
        </w:rPr>
        <w:t xml:space="preserve"> to be simply an artifact of chemical fixation.</w:t>
      </w:r>
      <w:r>
        <w:rPr>
          <w:sz w:val="24"/>
          <w:szCs w:val="24"/>
        </w:rPr>
        <w:t xml:space="preserve"> Standardization of fixation and other tissue processing procedures takes this introduction of artifacts into account, by establishing what procedures introduce which kinds of </w:t>
      </w:r>
      <w:r>
        <w:rPr>
          <w:sz w:val="24"/>
          <w:szCs w:val="24"/>
        </w:rPr>
        <w:lastRenderedPageBreak/>
        <w:t>artifacts. Researchers who know w</w:t>
      </w:r>
      <w:r>
        <w:rPr>
          <w:sz w:val="24"/>
          <w:szCs w:val="24"/>
        </w:rPr>
        <w:t xml:space="preserve">hat types of artifacts to expect with each tissue type and processing technique can accurately interpret sections with artifacts, or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</w:rPr>
        <w:t>choose</w:t>
      </w:r>
      <w:proofErr w:type="spellEnd"/>
      <w:r>
        <w:rPr>
          <w:sz w:val="24"/>
          <w:szCs w:val="24"/>
        </w:rPr>
        <w:t xml:space="preserve"> techniques that minimize artifacts in areas of interest.</w:t>
      </w:r>
    </w:p>
    <w:p w:rsidR="00000000" w:rsidRDefault="00F93893">
      <w:pPr>
        <w:rPr>
          <w:sz w:val="24"/>
          <w:szCs w:val="24"/>
        </w:rPr>
      </w:pPr>
    </w:p>
    <w:p w:rsidR="00000000" w:rsidRDefault="00F93893">
      <w:pPr>
        <w:rPr>
          <w:b/>
          <w:bCs/>
          <w:caps/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caps/>
          <w:sz w:val="28"/>
          <w:szCs w:val="28"/>
        </w:rPr>
        <w:t xml:space="preserve">Compound fixatives and their compositions </w:t>
      </w:r>
    </w:p>
    <w:p w:rsidR="00000000" w:rsidRDefault="00F93893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Bouin</w:t>
      </w:r>
      <w:proofErr w:type="spellEnd"/>
      <w:r>
        <w:rPr>
          <w:b/>
          <w:bCs/>
          <w:sz w:val="24"/>
          <w:szCs w:val="24"/>
        </w:rPr>
        <w:t xml:space="preserve"> Solution</w:t>
      </w:r>
    </w:p>
    <w:p w:rsidR="00000000" w:rsidRDefault="00F93893">
      <w:pPr>
        <w:rPr>
          <w:sz w:val="24"/>
          <w:szCs w:val="24"/>
        </w:rPr>
      </w:pPr>
      <w:r>
        <w:rPr>
          <w:sz w:val="24"/>
          <w:szCs w:val="24"/>
        </w:rPr>
        <w:t>Composition</w:t>
      </w:r>
      <w:r>
        <w:rPr>
          <w:sz w:val="24"/>
          <w:szCs w:val="24"/>
        </w:rPr>
        <w:t>;</w:t>
      </w:r>
    </w:p>
    <w:p w:rsidR="00000000" w:rsidRDefault="00F9389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37-40% Formaldehyde</w:t>
      </w:r>
    </w:p>
    <w:p w:rsidR="00000000" w:rsidRDefault="00F9389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Picric Acid</w:t>
      </w:r>
    </w:p>
    <w:p w:rsidR="00000000" w:rsidRDefault="00F9389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Glacial Acetic Acid</w:t>
      </w:r>
      <w:r>
        <w:rPr>
          <w:sz w:val="24"/>
          <w:szCs w:val="24"/>
        </w:rPr>
        <w:tab/>
      </w:r>
    </w:p>
    <w:p w:rsidR="00000000" w:rsidRDefault="00F93893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Gendre</w:t>
      </w:r>
      <w:proofErr w:type="spellEnd"/>
      <w:r>
        <w:rPr>
          <w:b/>
          <w:bCs/>
          <w:sz w:val="24"/>
          <w:szCs w:val="24"/>
        </w:rPr>
        <w:t xml:space="preserve"> solution </w:t>
      </w:r>
    </w:p>
    <w:p w:rsidR="00000000" w:rsidRDefault="00F93893">
      <w:pPr>
        <w:rPr>
          <w:sz w:val="24"/>
          <w:szCs w:val="24"/>
        </w:rPr>
      </w:pPr>
      <w:r>
        <w:rPr>
          <w:sz w:val="24"/>
          <w:szCs w:val="24"/>
        </w:rPr>
        <w:t>Comp</w:t>
      </w:r>
      <w:r>
        <w:rPr>
          <w:sz w:val="24"/>
          <w:szCs w:val="24"/>
        </w:rPr>
        <w:t>ositio</w:t>
      </w:r>
      <w:r>
        <w:rPr>
          <w:sz w:val="24"/>
          <w:szCs w:val="24"/>
        </w:rPr>
        <w:t>n;</w:t>
      </w:r>
    </w:p>
    <w:p w:rsidR="00000000" w:rsidRDefault="00F9389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37-40% Formaldehyde</w:t>
      </w:r>
    </w:p>
    <w:p w:rsidR="00000000" w:rsidRDefault="00F9389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95% alcohol saturated with picric acid</w:t>
      </w:r>
    </w:p>
    <w:p w:rsidR="00000000" w:rsidRDefault="00F9389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Glacial acetic acid</w:t>
      </w:r>
      <w:r>
        <w:rPr>
          <w:sz w:val="24"/>
          <w:szCs w:val="24"/>
        </w:rPr>
        <w:tab/>
      </w:r>
    </w:p>
    <w:p w:rsidR="00000000" w:rsidRDefault="00F93893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Hollande</w:t>
      </w:r>
      <w:proofErr w:type="spellEnd"/>
      <w:r>
        <w:rPr>
          <w:b/>
          <w:bCs/>
          <w:sz w:val="24"/>
          <w:szCs w:val="24"/>
        </w:rPr>
        <w:t xml:space="preserve"> solution </w:t>
      </w:r>
    </w:p>
    <w:p w:rsidR="00000000" w:rsidRDefault="00F93893">
      <w:pPr>
        <w:rPr>
          <w:sz w:val="24"/>
          <w:szCs w:val="24"/>
        </w:rPr>
      </w:pPr>
      <w:r>
        <w:rPr>
          <w:sz w:val="24"/>
          <w:szCs w:val="24"/>
        </w:rPr>
        <w:t>Composition</w:t>
      </w:r>
      <w:r>
        <w:rPr>
          <w:sz w:val="24"/>
          <w:szCs w:val="24"/>
        </w:rPr>
        <w:t>;</w:t>
      </w:r>
    </w:p>
    <w:p w:rsidR="00000000" w:rsidRDefault="00F9389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37-40% Formaldehyde</w:t>
      </w:r>
    </w:p>
    <w:p w:rsidR="00000000" w:rsidRDefault="00F9389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Distilled water</w:t>
      </w:r>
    </w:p>
    <w:p w:rsidR="00000000" w:rsidRDefault="00F9389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Picr</w:t>
      </w:r>
      <w:r>
        <w:rPr>
          <w:sz w:val="24"/>
          <w:szCs w:val="24"/>
        </w:rPr>
        <w:t>ic acid</w:t>
      </w:r>
    </w:p>
    <w:p w:rsidR="00000000" w:rsidRDefault="00F9389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Copper acetate</w:t>
      </w:r>
      <w:r>
        <w:rPr>
          <w:sz w:val="24"/>
          <w:szCs w:val="24"/>
        </w:rPr>
        <w:tab/>
      </w:r>
    </w:p>
    <w:p w:rsidR="00000000" w:rsidRDefault="00F93893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Zenker</w:t>
      </w:r>
      <w:proofErr w:type="spellEnd"/>
      <w:r>
        <w:rPr>
          <w:b/>
          <w:bCs/>
          <w:sz w:val="24"/>
          <w:szCs w:val="24"/>
        </w:rPr>
        <w:t xml:space="preserve"> and </w:t>
      </w:r>
      <w:proofErr w:type="spellStart"/>
      <w:r>
        <w:rPr>
          <w:b/>
          <w:bCs/>
          <w:sz w:val="24"/>
          <w:szCs w:val="24"/>
        </w:rPr>
        <w:t>Helly</w:t>
      </w:r>
      <w:proofErr w:type="spellEnd"/>
      <w:r>
        <w:rPr>
          <w:b/>
          <w:bCs/>
          <w:sz w:val="24"/>
          <w:szCs w:val="24"/>
        </w:rPr>
        <w:t xml:space="preserve"> solution </w:t>
      </w:r>
    </w:p>
    <w:p w:rsidR="00000000" w:rsidRDefault="00F93893">
      <w:pPr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>omposition</w:t>
      </w:r>
      <w:r>
        <w:rPr>
          <w:sz w:val="24"/>
          <w:szCs w:val="24"/>
        </w:rPr>
        <w:t>;</w:t>
      </w:r>
    </w:p>
    <w:p w:rsidR="00000000" w:rsidRDefault="00F9389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Mercuric Chloride</w:t>
      </w:r>
    </w:p>
    <w:p w:rsidR="00000000" w:rsidRDefault="00F9389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Distilled water</w:t>
      </w:r>
    </w:p>
    <w:p w:rsidR="00000000" w:rsidRDefault="00F9389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>Potassium Dichromate</w:t>
      </w:r>
    </w:p>
    <w:p w:rsidR="00000000" w:rsidRDefault="00F9389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Sodium Sulfate</w:t>
      </w:r>
      <w:r>
        <w:rPr>
          <w:sz w:val="24"/>
          <w:szCs w:val="24"/>
        </w:rPr>
        <w:tab/>
      </w:r>
    </w:p>
    <w:p w:rsidR="00000000" w:rsidRDefault="00F93893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Orth</w:t>
      </w:r>
      <w:proofErr w:type="spellEnd"/>
      <w:r>
        <w:rPr>
          <w:b/>
          <w:bCs/>
          <w:sz w:val="24"/>
          <w:szCs w:val="24"/>
        </w:rPr>
        <w:t xml:space="preserve"> solution </w:t>
      </w:r>
      <w:bookmarkStart w:id="0" w:name="_GoBack"/>
      <w:bookmarkEnd w:id="0"/>
    </w:p>
    <w:p w:rsidR="00000000" w:rsidRDefault="00F93893">
      <w:pPr>
        <w:rPr>
          <w:sz w:val="24"/>
          <w:szCs w:val="24"/>
        </w:rPr>
      </w:pPr>
      <w:r>
        <w:rPr>
          <w:sz w:val="24"/>
          <w:szCs w:val="24"/>
        </w:rPr>
        <w:t>Composition</w:t>
      </w:r>
      <w:r>
        <w:rPr>
          <w:sz w:val="24"/>
          <w:szCs w:val="24"/>
        </w:rPr>
        <w:t>;</w:t>
      </w:r>
    </w:p>
    <w:p w:rsidR="00000000" w:rsidRDefault="00F9389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37-40% Formaldehyde</w:t>
      </w:r>
    </w:p>
    <w:p w:rsidR="00000000" w:rsidRDefault="00F9389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Distilled water</w:t>
      </w:r>
    </w:p>
    <w:p w:rsidR="00000000" w:rsidRDefault="00F9389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Potassium Dichromate</w:t>
      </w:r>
    </w:p>
    <w:p w:rsidR="00A530BA" w:rsidRDefault="00F9389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Sodium Sulfate</w:t>
      </w:r>
      <w:r>
        <w:rPr>
          <w:sz w:val="24"/>
          <w:szCs w:val="24"/>
        </w:rPr>
        <w:tab/>
      </w:r>
    </w:p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431401"/>
    <w:rsid w:val="00A530BA"/>
    <w:rsid w:val="00F9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6865E1"/>
  <w14:defaultImageDpi w14:val="0"/>
  <w15:chartTrackingRefBased/>
  <w15:docId w15:val="{E5754454-0A97-A34D-8A22-8FB0452E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SM-J600F</dc:creator>
  <cp:keywords/>
  <cp:lastModifiedBy>Guest User</cp:lastModifiedBy>
  <cp:revision>3</cp:revision>
  <dcterms:created xsi:type="dcterms:W3CDTF">2020-05-11T17:36:00Z</dcterms:created>
  <dcterms:modified xsi:type="dcterms:W3CDTF">2020-05-11T17:37:00Z</dcterms:modified>
</cp:coreProperties>
</file>