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MATRIC NO: 16/MHS06/022.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color w:val="000000"/>
          <w:sz w:val="24"/>
          <w:szCs w:val="24"/>
          <w:u w:val="single"/>
        </w:rPr>
        <w:t>DIFFERENCES AND SIMILARITIES BETWEEN THE SECTIONS OF THE GASTRO</w:t>
      </w:r>
      <w:r>
        <w:rPr>
          <w:rFonts w:ascii="Times New Roman" w:cs="Times New Roman" w:hAnsi="Times New Roman"/>
          <w:color w:val="000000"/>
          <w:sz w:val="24"/>
          <w:szCs w:val="24"/>
          <w:u w:val="single"/>
        </w:rPr>
        <w:t>INTESTINAL TRACT</w:t>
      </w:r>
      <w:r>
        <w:rPr>
          <w:rFonts w:ascii="Times New Roman" w:cs="Times New Roman" w:hAnsi="Times New Roman"/>
          <w:color w:val="000000"/>
          <w:sz w:val="24"/>
          <w:szCs w:val="24"/>
        </w:rPr>
        <w:t>: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color w:val="000000"/>
          <w:sz w:val="24"/>
          <w:szCs w:val="24"/>
          <w:u w:val="single"/>
        </w:rPr>
        <w:t xml:space="preserve">DIFFERENCES BETWEEN THE </w:t>
      </w:r>
      <w:r>
        <w:rPr>
          <w:rFonts w:ascii="Times New Roman" w:cs="Times New Roman" w:hAnsi="Times New Roman"/>
          <w:color w:val="000000"/>
          <w:sz w:val="24"/>
          <w:szCs w:val="24"/>
          <w:u w:val="single"/>
        </w:rPr>
        <w:t>UPPER AND LOWER GIT:</w:t>
      </w:r>
    </w:p>
    <w:p>
      <w:pPr>
        <w:pStyle w:val="style0"/>
        <w:spacing w:lineRule="auto" w:line="360"/>
        <w:jc w:val="both"/>
        <w:rPr/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human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gastrointestinal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tract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consists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oral ca</w:t>
      </w:r>
      <w:r>
        <w:rPr>
          <w:rFonts w:ascii="Times New Roman" w:cs="Times New Roman" w:hAnsi="Times New Roman"/>
          <w:sz w:val="24"/>
          <w:szCs w:val="24"/>
        </w:rPr>
        <w:t>vity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Style w:val="style85"/>
          <w:rFonts w:ascii="Times New Roman" w:cs="Times New Roman" w:hAnsi="Times New Roman"/>
          <w:sz w:val="24"/>
          <w:szCs w:val="24"/>
          <w:u w:val="none"/>
        </w:rPr>
        <w:t>esophagus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85"/>
          <w:rFonts w:ascii="Times New Roman" w:cs="Times New Roman" w:hAnsi="Times New Roman"/>
          <w:sz w:val="24"/>
          <w:szCs w:val="24"/>
          <w:u w:val="none"/>
        </w:rPr>
        <w:t>stomach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small intestine, large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intestine</w:t>
      </w:r>
      <w:r>
        <w:rPr>
          <w:rFonts w:ascii="Times New Roman" w:cs="Times New Roman" w:hAnsi="Times New Roman"/>
          <w:sz w:val="24"/>
          <w:szCs w:val="24"/>
        </w:rPr>
        <w:t xml:space="preserve"> and rectum;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divided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upper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lower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gastrointestinal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tracts.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tract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includes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structures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between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85"/>
          <w:rFonts w:ascii="Times New Roman" w:cs="Times New Roman" w:hAnsi="Times New Roman"/>
          <w:sz w:val="24"/>
          <w:szCs w:val="24"/>
          <w:u w:val="none"/>
        </w:rPr>
        <w:t>mouth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85"/>
          <w:rFonts w:ascii="Times New Roman" w:cs="Times New Roman" w:hAnsi="Times New Roman"/>
          <w:sz w:val="24"/>
          <w:szCs w:val="24"/>
          <w:u w:val="none"/>
        </w:rPr>
        <w:t>anus</w:t>
      </w:r>
    </w:p>
    <w:p>
      <w:pPr>
        <w:pStyle w:val="style179"/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23"/>
        <w:gridCol w:w="4246"/>
        <w:gridCol w:w="4041"/>
      </w:tblGrid>
      <w:tr>
        <w:trPr>
          <w:trHeight w:val="607" w:hRule="atLeast"/>
        </w:trPr>
        <w:tc>
          <w:tcPr>
            <w:tcW w:w="62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NO.</w:t>
            </w:r>
          </w:p>
        </w:tc>
        <w:tc>
          <w:tcPr>
            <w:tcW w:w="4246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 xml:space="preserve">UPPER GASTROINTESTINAL TRACT </w:t>
            </w:r>
          </w:p>
        </w:tc>
        <w:tc>
          <w:tcPr>
            <w:tcW w:w="404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 xml:space="preserve">LOWER GASTROINTESTINAL TRACT </w:t>
            </w:r>
          </w:p>
        </w:tc>
      </w:tr>
      <w:tr>
        <w:tblPrEx/>
        <w:trPr>
          <w:trHeight w:val="303" w:hRule="atLeast"/>
        </w:trPr>
        <w:tc>
          <w:tcPr>
            <w:tcW w:w="62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246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The upper GI tract is generally considered to be the mouth,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oesophagus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stomach, and finally the first part of the small intestine (duodenum).</w:t>
            </w:r>
          </w:p>
        </w:tc>
        <w:tc>
          <w:tcPr>
            <w:tcW w:w="404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The lower GI tract runs from the small intestine to the large intestine (colon) to the anus.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he lower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gastrointestinal tract, commonly referred to as the large intestine, begins at the cecum and also includes the appendix (humans only) col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on, rectum, and anus. </w:t>
            </w:r>
          </w:p>
        </w:tc>
      </w:tr>
      <w:tr>
        <w:tblPrEx/>
        <w:trPr>
          <w:trHeight w:val="289" w:hRule="atLeast"/>
        </w:trPr>
        <w:tc>
          <w:tcPr>
            <w:tcW w:w="62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4246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The upper GI tract can be examined with an endoscopy, which is performed by a gastroenterologist while the patient is under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anaesthesia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4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The lower GI tract can be examined in several ways, including via a colonoscopy. As with an endoscopy, the patient is placed under anaesthesia for a colonoscopy.</w:t>
            </w:r>
          </w:p>
        </w:tc>
      </w:tr>
      <w:tr>
        <w:tblPrEx/>
        <w:trPr>
          <w:trHeight w:val="2265" w:hRule="atLeast"/>
        </w:trPr>
        <w:tc>
          <w:tcPr>
            <w:tcW w:w="62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4246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 The functions of the upper gastrointestinal tract include transport of the swallowed food bolus, enzymatic digestion, and absorption of nutrients, in addition to protective barrier function against the external environment.</w:t>
            </w:r>
          </w:p>
        </w:tc>
        <w:tc>
          <w:tcPr>
            <w:tcW w:w="404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 xml:space="preserve">The large intestine has 3 primary functions: absorbing water and electrolytes, producing and absorbing vitamins, and forming and propelling </w:t>
            </w:r>
            <w:r>
              <w:rPr>
                <w:rFonts w:eastAsia="Times New Roman"/>
              </w:rPr>
              <w:t>faeces</w:t>
            </w:r>
            <w:r>
              <w:rPr>
                <w:rFonts w:eastAsia="Times New Roman"/>
              </w:rPr>
              <w:t xml:space="preserve"> toward the rectum for elimination. By the time indigestible materials have reached the colon, most nutrients and up to 90% of the water has been absorbed by the small intestine.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color w:val="000000"/>
          <w:sz w:val="24"/>
          <w:szCs w:val="24"/>
          <w:u w:val="single"/>
        </w:rPr>
        <w:t>SIMILARITIES BETWEEN THE UPPER AND LOWER GIT</w:t>
      </w:r>
      <w:r>
        <w:rPr>
          <w:rFonts w:ascii="Times New Roman" w:cs="Times New Roman" w:hAnsi="Times New Roman"/>
          <w:color w:val="000000"/>
          <w:sz w:val="24"/>
          <w:szCs w:val="24"/>
        </w:rPr>
        <w:t>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76"/>
        <w:gridCol w:w="8350"/>
      </w:tblGrid>
      <w:tr>
        <w:trPr/>
        <w:tc>
          <w:tcPr>
            <w:tcW w:w="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NO</w:t>
            </w:r>
          </w:p>
        </w:tc>
        <w:tc>
          <w:tcPr>
            <w:tcW w:w="83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 xml:space="preserve">COMPARISON BETWEEN THE UPPER AND LOWER GASTROINTESTINAL TRACT </w:t>
            </w:r>
          </w:p>
        </w:tc>
      </w:tr>
      <w:tr>
        <w:tblPrEx/>
        <w:trPr/>
        <w:tc>
          <w:tcPr>
            <w:tcW w:w="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83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>Digestion and absorption are the primary functions of the sections of the gastrointestinal tract.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83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>The sections of the gastrointestinal tract are lined by a special layer of cells, called epithelium.</w:t>
            </w:r>
          </w:p>
        </w:tc>
      </w:tr>
      <w:tr>
        <w:tblPrEx/>
        <w:trPr/>
        <w:tc>
          <w:tcPr>
            <w:tcW w:w="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8350" w:type="dxa"/>
            <w:tcBorders/>
            <w:tcFitText w:val="false"/>
          </w:tcPr>
          <w:p>
            <w:pPr>
              <w:pStyle w:val="style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Although each section of the tract has specialised functions, the entire tract has a similar basic structure with regional variations.</w:t>
            </w:r>
          </w:p>
        </w:tc>
      </w:tr>
      <w:tr>
        <w:tblPrEx/>
        <w:trPr/>
        <w:tc>
          <w:tcPr>
            <w:tcW w:w="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8350" w:type="dxa"/>
            <w:tcBorders/>
            <w:tcFitText w:val="false"/>
          </w:tcPr>
          <w:p>
            <w:pPr>
              <w:pStyle w:val="style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sections of the GI tract is composed of four layers. Each layer has different tissues and functions. From the inside out they are called: mucosa, submucosa, </w:t>
            </w:r>
            <w:r>
              <w:rPr>
                <w:rFonts w:eastAsia="Times New Roman"/>
              </w:rPr>
              <w:t>muscularis</w:t>
            </w:r>
            <w:r>
              <w:rPr>
                <w:rFonts w:eastAsia="Times New Roman"/>
              </w:rPr>
              <w:t>, and serosa.</w:t>
            </w:r>
            <w:bookmarkStart w:id="0" w:name="_GoBack"/>
            <w:bookmarkEnd w:id="0"/>
          </w:p>
        </w:tc>
      </w:tr>
      <w:tr>
        <w:tblPrEx/>
        <w:trPr/>
        <w:tc>
          <w:tcPr>
            <w:tcW w:w="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8350" w:type="dxa"/>
            <w:tcBorders/>
            <w:tcFitText w:val="false"/>
          </w:tcPr>
          <w:p>
            <w:pPr>
              <w:pStyle w:val="style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They all function variously in the transport of swallowed food bolus, enzymatic digestion, absorption of nutrients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t xml:space="preserve">protective barrier function against the external environment. </w:t>
            </w:r>
          </w:p>
        </w:tc>
      </w:tr>
    </w:tbl>
    <w:p>
      <w:pPr>
        <w:pStyle w:val="style0"/>
        <w:ind w:left="720"/>
        <w:jc w:val="both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0F6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2B2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4094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Words>396</Words>
  <Characters>2171</Characters>
  <Application>WPS Office</Application>
  <DocSecurity>0</DocSecurity>
  <Paragraphs>46</Paragraphs>
  <ScaleCrop>false</ScaleCrop>
  <LinksUpToDate>false</LinksUpToDate>
  <CharactersWithSpaces>2530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2020-05-11T11:29:00Z</dcterms:created>
  <dc:creator>itsaimeee92@gmail.com</dc:creator>
  <lastModifiedBy>SM-G965F</lastModifiedBy>
  <dcterms:modified xsi:type="dcterms:W3CDTF">2020-05-11T22:45:15Z</dcterms:modified>
  <revision>64</revision>
</coreProperties>
</file>