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lang w:val="en-US"/>
        </w:rPr>
      </w:pPr>
      <w:r>
        <w:rPr>
          <w:lang w:val="en-US"/>
        </w:rPr>
        <w:t>Name unah chike</w:t>
      </w:r>
    </w:p>
    <w:p>
      <w:pPr>
        <w:rPr>
          <w:lang w:val="en-US"/>
        </w:rPr>
      </w:pPr>
      <w:r>
        <w:rPr>
          <w:lang w:val="en-US"/>
        </w:rPr>
        <w:t xml:space="preserve">Dept: anatomy </w:t>
      </w:r>
    </w:p>
    <w:p>
      <w:pPr>
        <w:rPr>
          <w:lang w:val="en-US"/>
        </w:rPr>
      </w:pPr>
      <w:r>
        <w:rPr>
          <w:lang w:val="en-US"/>
        </w:rPr>
        <w:t>Mat no: 17/mhs01/315</w:t>
      </w:r>
    </w:p>
    <w:p>
      <w:pPr>
        <w:rPr>
          <w:lang w:val="en-US"/>
        </w:rPr>
      </w:pPr>
      <w:r>
        <w:rPr>
          <w:lang w:val="en-US"/>
        </w:rPr>
        <w:t>Course code: bch 308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pStyle w:val="2"/>
        <w:widowControl/>
        <w:ind w:left="0" w:firstLine="0"/>
        <w:rPr>
          <w:rFonts w:ascii="verdana" w:hAnsi="verdana" w:cs="verdana"/>
          <w:i w:val="0"/>
          <w:caps w:val="0"/>
          <w:color w:val="46494C"/>
          <w:spacing w:val="0"/>
          <w:u w:val="none"/>
        </w:rPr>
      </w:pPr>
      <w:r>
        <w:rPr>
          <w:rFonts w:hint="default" w:ascii="verdana" w:hAnsi="verdana" w:cs="verdana"/>
          <w:i w:val="0"/>
          <w:caps w:val="0"/>
          <w:color w:val="46494C"/>
          <w:spacing w:val="0"/>
          <w:u w:val="none"/>
        </w:rPr>
        <w:t>DOPAMINE SYNTHESIS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Dopamine is synthesized from the amino acid tyrosine; the majority of circulating tyrosine originates from dietary sources, but small amounts are derived from hydroxylation of phenylalanine by the liver enzyme phenylalanine hydroxylase .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Blood-borne tyrosine is taken up into the brain by a low-affinity amino acid transport system and subsequently from brain extracellular fluid into dopaminergic neurons by high- and low-affinity amino acid transporters.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Tyrosine is converted to dopamine by the enzymes tyrosine hydroxylase (TH) and l-amino acid decarboxylase (AADC) also called dihydroxyphenylalanine (DOPA) decarboxylase (DDC).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spacing w:val="0"/>
          <w:sz w:val="39"/>
          <w:szCs w:val="39"/>
          <w:u w:val="none"/>
          <w:bdr w:val="none" w:color="auto" w:sz="0" w:space="0"/>
        </w:rPr>
        <w:fldChar w:fldCharType="begin"/>
      </w:r>
      <w:r>
        <w:rPr>
          <w:rFonts w:hint="default" w:ascii="verdana" w:hAnsi="verdana" w:cs="verdana"/>
          <w:b w:val="0"/>
          <w:i w:val="0"/>
          <w:caps w:val="0"/>
          <w:spacing w:val="0"/>
          <w:sz w:val="39"/>
          <w:szCs w:val="39"/>
          <w:u w:val="none"/>
          <w:bdr w:val="none" w:color="auto" w:sz="0" w:space="0"/>
        </w:rPr>
        <w:instrText xml:space="preserve"> HYPERLINK "http://www.ncbi.nlm.nih.gov/pubmed/10800597?ordinalpos=2&amp;itool=EntrezSystem2.PEntrez.Pubmed.Pubmed_ResultsPanel.Pubmed_DefaultReportPanel.Pubmed_RVDocSum" </w:instrText>
      </w:r>
      <w:r>
        <w:rPr>
          <w:rFonts w:hint="default" w:ascii="verdana" w:hAnsi="verdana" w:cs="verdana"/>
          <w:b w:val="0"/>
          <w:i w:val="0"/>
          <w:caps w:val="0"/>
          <w:spacing w:val="0"/>
          <w:sz w:val="39"/>
          <w:szCs w:val="39"/>
          <w:u w:val="none"/>
          <w:bdr w:val="none" w:color="auto" w:sz="0" w:space="0"/>
        </w:rPr>
        <w:fldChar w:fldCharType="separate"/>
      </w:r>
      <w:r>
        <w:rPr>
          <w:rStyle w:val="5"/>
          <w:rFonts w:hint="default" w:ascii="verdana" w:hAnsi="verdana" w:cs="verdana"/>
          <w:b w:val="0"/>
          <w:i w:val="0"/>
          <w:caps w:val="0"/>
          <w:spacing w:val="0"/>
          <w:sz w:val="39"/>
          <w:szCs w:val="39"/>
          <w:u w:val="none"/>
          <w:bdr w:val="none" w:color="auto" w:sz="0" w:space="0"/>
        </w:rPr>
        <w:t>The aromatic amino acid hydroxylases 2000</w:t>
      </w:r>
      <w:r>
        <w:rPr>
          <w:rFonts w:hint="default" w:ascii="verdana" w:hAnsi="verdana" w:cs="verdana"/>
          <w:b w:val="0"/>
          <w:i w:val="0"/>
          <w:caps w:val="0"/>
          <w:spacing w:val="0"/>
          <w:sz w:val="39"/>
          <w:szCs w:val="39"/>
          <w:u w:val="none"/>
          <w:bdr w:val="none" w:color="auto" w:sz="0" w:space="0"/>
        </w:rPr>
        <w:fldChar w:fldCharType="end"/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TH is the rate-limiting step in their biosynthetic pathway; the TH gene is localized to chromosome 11p in humans and encodes a single form of TH that can be alternatively spliced. The mRNA expression of the TH is abundant throughout the human mesencephalon.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The mature enzyme is a soluble cytosolic protein composed of four subunits of approximately 60 kDa each.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TH activity is the most critical factor that controls dopamine synthesis, and considerable efforts have been devoted to understanding activation/inactivation of this enzyme.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spacing w:val="0"/>
          <w:sz w:val="39"/>
          <w:szCs w:val="39"/>
          <w:u w:val="none"/>
          <w:bdr w:val="none" w:color="auto" w:sz="0" w:space="0"/>
        </w:rPr>
        <w:fldChar w:fldCharType="begin"/>
      </w:r>
      <w:r>
        <w:rPr>
          <w:rFonts w:hint="default" w:ascii="verdana" w:hAnsi="verdana" w:cs="verdana"/>
          <w:b w:val="0"/>
          <w:i w:val="0"/>
          <w:caps w:val="0"/>
          <w:spacing w:val="0"/>
          <w:sz w:val="39"/>
          <w:szCs w:val="39"/>
          <w:u w:val="none"/>
          <w:bdr w:val="none" w:color="auto" w:sz="0" w:space="0"/>
        </w:rPr>
        <w:instrText xml:space="preserve"> HYPERLINK "http://www.sciencedirect.com/science?_ob=ArticleURL&amp;_udi=B6T36-44BF0VR-3D&amp;_user=10&amp;_rdoc=1&amp;_fmt=&amp;_orig=search&amp;_sort=d&amp;view=c&amp;_acct=C000050221&amp;_version=1&amp;_urlVersion=0&amp;_userid=10&amp;md5=62c2be7c1c98f75a95fd7698f5d95eca" </w:instrText>
      </w:r>
      <w:r>
        <w:rPr>
          <w:rFonts w:hint="default" w:ascii="verdana" w:hAnsi="verdana" w:cs="verdana"/>
          <w:b w:val="0"/>
          <w:i w:val="0"/>
          <w:caps w:val="0"/>
          <w:spacing w:val="0"/>
          <w:sz w:val="39"/>
          <w:szCs w:val="39"/>
          <w:u w:val="none"/>
          <w:bdr w:val="none" w:color="auto" w:sz="0" w:space="0"/>
        </w:rPr>
        <w:fldChar w:fldCharType="separate"/>
      </w:r>
      <w:r>
        <w:rPr>
          <w:rStyle w:val="5"/>
          <w:rFonts w:hint="default" w:ascii="verdana" w:hAnsi="verdana" w:cs="verdana"/>
          <w:b w:val="0"/>
          <w:i w:val="0"/>
          <w:caps w:val="0"/>
          <w:spacing w:val="0"/>
          <w:sz w:val="39"/>
          <w:szCs w:val="39"/>
          <w:u w:val="none"/>
          <w:bdr w:val="none" w:color="auto" w:sz="0" w:space="0"/>
        </w:rPr>
        <w:t>Assignment of the human tyrosine hydroxylase gene to chromosome 1984</w:t>
      </w:r>
      <w:r>
        <w:rPr>
          <w:rFonts w:hint="default" w:ascii="verdana" w:hAnsi="verdana" w:cs="verdana"/>
          <w:b w:val="0"/>
          <w:i w:val="0"/>
          <w:caps w:val="0"/>
          <w:spacing w:val="0"/>
          <w:sz w:val="39"/>
          <w:szCs w:val="39"/>
          <w:u w:val="none"/>
          <w:bdr w:val="none" w:color="auto" w:sz="0" w:space="0"/>
        </w:rPr>
        <w:fldChar w:fldCharType="end"/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As previously say,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AADC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is the second and terminal enzyme in dopamine biosynthesis. The enzyme uses pyridoxal phosphate as a cofactor and can convert both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DOPA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to dopamine and 5-hydroxytryptophan to serotonin [5-hydroxytryptamine (5-HT)].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spacing w:val="0"/>
          <w:sz w:val="39"/>
          <w:szCs w:val="39"/>
          <w:u w:val="none"/>
          <w:bdr w:val="none" w:color="auto" w:sz="0" w:space="0"/>
        </w:rPr>
        <w:fldChar w:fldCharType="begin"/>
      </w:r>
      <w:r>
        <w:rPr>
          <w:rFonts w:hint="default" w:ascii="verdana" w:hAnsi="verdana" w:cs="verdana"/>
          <w:b w:val="0"/>
          <w:i w:val="0"/>
          <w:caps w:val="0"/>
          <w:spacing w:val="0"/>
          <w:sz w:val="39"/>
          <w:szCs w:val="39"/>
          <w:u w:val="none"/>
          <w:bdr w:val="none" w:color="auto" w:sz="0" w:space="0"/>
        </w:rPr>
        <w:instrText xml:space="preserve"> HYPERLINK "http://www.ncbi.nlm.nih.gov/pubmed/8584678?ordinalpos=2&amp;itool=EntrezSystem2.PEntrez.Pubmed.Pubmed_ResultsPanel.Pubmed_DefaultReportPanel.Pubmed_RVDocSum" </w:instrText>
      </w:r>
      <w:r>
        <w:rPr>
          <w:rFonts w:hint="default" w:ascii="verdana" w:hAnsi="verdana" w:cs="verdana"/>
          <w:b w:val="0"/>
          <w:i w:val="0"/>
          <w:caps w:val="0"/>
          <w:spacing w:val="0"/>
          <w:sz w:val="39"/>
          <w:szCs w:val="39"/>
          <w:u w:val="none"/>
          <w:bdr w:val="none" w:color="auto" w:sz="0" w:space="0"/>
        </w:rPr>
        <w:fldChar w:fldCharType="separate"/>
      </w:r>
      <w:r>
        <w:rPr>
          <w:rStyle w:val="5"/>
          <w:rFonts w:hint="default" w:ascii="verdana" w:hAnsi="verdana" w:cs="verdana"/>
          <w:b w:val="0"/>
          <w:i w:val="0"/>
          <w:caps w:val="0"/>
          <w:spacing w:val="0"/>
          <w:sz w:val="39"/>
          <w:szCs w:val="39"/>
          <w:u w:val="none"/>
          <w:bdr w:val="none" w:color="auto" w:sz="0" w:space="0"/>
        </w:rPr>
        <w:t>Aromatic L-amino acid decarboxylase modulation and Parkinson's disease 1995</w:t>
      </w:r>
      <w:r>
        <w:rPr>
          <w:rFonts w:hint="default" w:ascii="verdana" w:hAnsi="verdana" w:cs="verdana"/>
          <w:b w:val="0"/>
          <w:i w:val="0"/>
          <w:caps w:val="0"/>
          <w:spacing w:val="0"/>
          <w:sz w:val="39"/>
          <w:szCs w:val="39"/>
          <w:u w:val="none"/>
          <w:bdr w:val="none" w:color="auto" w:sz="0" w:space="0"/>
        </w:rPr>
        <w:fldChar w:fldCharType="end"/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The following is the complete reaction: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L-tyrosine +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THFA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+ O2 + Fe2+ → L-dopa +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DHFA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+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H2O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+ Fe2+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L-dopa + pyridoxal phosphate → dopamine + pyridoxal phosphate +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CO2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So for L-dopa formation, L-tyrosine,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THFA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(tetrahydrofolic acid), and ferrous iron are essential and for dopamine biosynthesis from L-dopa, pyridoxal phosphate is essential.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The activity of the enzyme rises and falls according to how much pyridoxal phosphate there is. Besides two enzymes being required for the formation of dopamine from L-tyrosine (L-tyrosine &gt;&gt;&gt; L-dopa &gt;&gt;&gt; dopamine), three coenzymes are also required. They are :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THFA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(for L-tyrosine to L-dopa), pyridoxal phosphate (for L-dopa to dopamine), and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NADH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(for the formation of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THFA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and Pyridoxal phosphate). The cofactor tetrahydrobiopterin (BH4) donates the hydrogen atom needed for hydroxylation of tyrosine to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DOPA.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Because pterin also serves as a cofactor for other monoxygenases as well as nitric oxide synthase, its availability is a determinino factor in the control of TH activity.</w: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39"/>
          <w:szCs w:val="39"/>
          <w:u w:val="none"/>
          <w:bdr w:val="none" w:color="auto" w:sz="0" w:space="0"/>
        </w:rPr>
        <w:t> </w:t>
      </w:r>
      <w:r>
        <w:rPr>
          <w:rFonts w:hint="default" w:ascii="verdana" w:hAnsi="verdana" w:cs="verdana"/>
          <w:b w:val="0"/>
          <w:i w:val="0"/>
          <w:caps w:val="0"/>
          <w:spacing w:val="0"/>
          <w:sz w:val="39"/>
          <w:szCs w:val="39"/>
          <w:u w:val="none"/>
          <w:bdr w:val="none" w:color="auto" w:sz="0" w:space="0"/>
        </w:rPr>
        <w:fldChar w:fldCharType="begin"/>
      </w:r>
      <w:r>
        <w:rPr>
          <w:rFonts w:hint="default" w:ascii="verdana" w:hAnsi="verdana" w:cs="verdana"/>
          <w:b w:val="0"/>
          <w:i w:val="0"/>
          <w:caps w:val="0"/>
          <w:spacing w:val="0"/>
          <w:sz w:val="39"/>
          <w:szCs w:val="39"/>
          <w:u w:val="none"/>
          <w:bdr w:val="none" w:color="auto" w:sz="0" w:space="0"/>
        </w:rPr>
        <w:instrText xml:space="preserve"> HYPERLINK "http://www.ncbi.nlm.nih.gov/sites/entrez" </w:instrText>
      </w:r>
      <w:r>
        <w:rPr>
          <w:rFonts w:hint="default" w:ascii="verdana" w:hAnsi="verdana" w:cs="verdana"/>
          <w:b w:val="0"/>
          <w:i w:val="0"/>
          <w:caps w:val="0"/>
          <w:spacing w:val="0"/>
          <w:sz w:val="39"/>
          <w:szCs w:val="39"/>
          <w:u w:val="none"/>
          <w:bdr w:val="none" w:color="auto" w:sz="0" w:space="0"/>
        </w:rPr>
        <w:fldChar w:fldCharType="separate"/>
      </w:r>
      <w:r>
        <w:rPr>
          <w:rStyle w:val="5"/>
          <w:rFonts w:hint="default" w:ascii="verdana" w:hAnsi="verdana" w:cs="verdana"/>
          <w:b w:val="0"/>
          <w:i w:val="0"/>
          <w:caps w:val="0"/>
          <w:spacing w:val="0"/>
          <w:sz w:val="39"/>
          <w:szCs w:val="39"/>
          <w:u w:val="none"/>
          <w:bdr w:val="none" w:color="auto" w:sz="0" w:space="0"/>
        </w:rPr>
        <w:t>Regulation of pteridine-requiring enzymes by the cofactor tetrahydrobiopterin 1999</w:t>
      </w:r>
      <w:r>
        <w:rPr>
          <w:rFonts w:hint="default" w:ascii="verdana" w:hAnsi="verdana" w:cs="verdana"/>
          <w:b w:val="0"/>
          <w:i w:val="0"/>
          <w:caps w:val="0"/>
          <w:spacing w:val="0"/>
          <w:sz w:val="39"/>
          <w:szCs w:val="39"/>
          <w:u w:val="none"/>
          <w:bdr w:val="none" w:color="auto" w:sz="0" w:space="0"/>
        </w:rPr>
        <w:fldChar w:fldCharType="end"/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27"/>
          <w:szCs w:val="27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27"/>
          <w:szCs w:val="27"/>
          <w:u w:val="none"/>
          <w:bdr w:val="none" w:color="auto" w:sz="0" w:space="0"/>
        </w:rPr>
        <w:fldChar w:fldCharType="begin" w:fldLock="1"/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27"/>
          <w:szCs w:val="27"/>
          <w:u w:val="none"/>
          <w:bdr w:val="none" w:color="auto" w:sz="0" w:space="0"/>
        </w:rPr>
        <w:instrText xml:space="preserve">INCLUDEPICTURE \d "a24cbf3ea9aa152c602288300cd8fdff" \* MERGEFORMATINET </w:instrText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27"/>
          <w:szCs w:val="27"/>
          <w:u w:val="none"/>
          <w:bdr w:val="none" w:color="auto" w:sz="0" w:space="0"/>
        </w:rPr>
        <w:drawing>
          <wp:inline distT="0" distB="0" distL="114300" distR="114300">
            <wp:extent cx="6096000" cy="38100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cs="verdana"/>
          <w:b w:val="0"/>
          <w:i w:val="0"/>
          <w:caps w:val="0"/>
          <w:color w:val="46494C"/>
          <w:spacing w:val="0"/>
          <w:sz w:val="27"/>
          <w:szCs w:val="27"/>
          <w:u w:val="none"/>
          <w:bdr w:val="none" w:color="auto" w:sz="0" w:space="0"/>
        </w:rPr>
        <w:fldChar w:fldCharType="end"/>
      </w:r>
    </w:p>
    <w:p>
      <w:pPr>
        <w:rPr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a24cbf3ea9aa152c602288300cd8fdff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2020-05-12T13:57:19Z</dcterms:created>
  <dc:creator>Unah.03</dc:creator>
  <cp:lastModifiedBy>Unah.03</cp:lastModifiedBy>
  <dcterms:modified xsi:type="dcterms:W3CDTF">2020-05-12T14:15:39Z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