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Name:Ezeoke Chioma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>Level:300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Matric No:18/mhs02/204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Assignment Title: IMMUNODEFICIENCY DISODERS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Course Title: Medical Surgical Nursing II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Course Code: NSC 306 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>Question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Immunodeficiency disorder is the absence or failure of normal function of one or more elements of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the immune system. There are two major types of immunodeficiency disorders: PRIMARY AND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>SECONDARY.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1. Identify and briefly explain 5 primary immunodeficiency disorders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2. Identify and briefly explain 2 secondary immunodeficiency disoders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                          Answers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1. Primary immunodeficiency disorders include: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* Wiscott-Aldrich syndrome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* Severe combined immunodeficiency disease (SCID)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* DiGeorge syndrome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* Ataxia-Telangiectasis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* Common variable immune deficiency (CVID)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* Wiskott-Aldrich syndrome: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This is an X-linked disorder characterized by an altered cell surface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glycoproteinstructure(CD43orsialophorin)commontolymphocytesand platelets. Its classic clinical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features include a microcytic thrombocytope- nia that distinguishes this disorder from idiopathic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thrombocytopenic purpura and other forms of normocytic thrombocytopenia. The immu- nologic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findings are variable but usually include impaired humoral re- sponses to polysaccharide antigens and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elevated serum IgA and IgE lev- els. Atopic dermatitis and recurrent pyogenic infections of the upper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respiratory tract are common but variable associated clinical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Since the gene for sialophorin is located on chromosome 16, it was ap- parent that a genetic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deficiency of sialophorin could not account for all the features of this X-linked disorder. More recently,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the gene for Wiskott Aldrich syndrome has been identified and codes a large molecular weight signal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transduction protein expressed on lymphocytes, megakaryocytes, spleen, and thymus. Techniques for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both gene carrier detection and in utero diagnosis have been described.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* Ataxia Telangiectasis: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Ataxia telangiectasia is an autosomal recessive disorder clinically characterized by progressive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oculocutaneous telangiectasia, which becomes present between 3 and 6 years of age. Progressive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cerebellar ataxia secondary to Purkinje’s cell degeneration typically results in loss of am- bulation by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10 to 12 years of age. Progeric changes of the skin and hair often are present. Immunologic features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often include selective IgA and IgG2 subclass deficiency and depressed but not absent in vitro lympho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- cyte responses. These patients also display exquisite toxicity to chemo- therapy and irradiation and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should not receive these forms of diagnostic and therapeutic studies. This often poses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difficultclinicaldecisionsas 15% of affected patients are estimated to develop malignancy. The ataxia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tel- angiectasia gene was identified in 199528and has been referred to as a potential Rosetta stone of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the human genome because of its wide-ranging roles. The postulated roles of this gene include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detecting DNA damage, controlling immune system responses, preventing genomic rearrange- ments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in malignancy, and preventing programmed cell death. It is be- lieved that u p to 1.4% of the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population has one defective AT gene and the gene could account for up to 8% of all breast cancers.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Treatment is limited to supportive care and no cure is available.Because the incidence of infection is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so variable, bone marrow transplantation usually is not advised.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* Thymic Hypoplasia(DiGeorge’s Syndrome):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Embryologists define this disorder as a developmental field defect involving the third and fourth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branchial arches. These structures are needed for the normal development of the thymus, parathyroid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glands, and the great vessels of the heart. Defective function of these organs ac- counts for the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respective features of variable immunodeficiency,neonatal hypocalcemia secondary to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hypoparathyroidism, and congenital cardiac defects. Abnormal ear, maxilla, and mandible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development accounts for the characteristic facies of this disorder. Parathyroid and thymic deficiency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also have been described in a disorder of peroxisomes known as Zellweger syndrome. When the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DiGeorge’s syndrome phenotype is paired with cleft palate and learning disorders, the term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velocardiofacialsyndrome is used. Diagnosis in newborns should be suspected when hypocalcemia is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paired with such relatively uncommon cardiac anomalies as an interrupted aortic arch type B, right-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sided aortic arch or truncus arteriosus. Ninety percent of DiGeorge’s syndrome patients have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associated chromosomedisorders, with the majority involving chromosome 22. The immunologic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findings are variable, and spontaneous improvement in the immunologic defect has been described. In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its severest form,bone marrow transplantation may be required.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•Severe Combined Immunodeficiency (SCID):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This term is used to describe a group of disorders that involve both the B and T cells. Most of the B-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cell abnormalities appear secondary to the lack of T-cell help, which points again to the critical role of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the T cell as the leader of the immune system. The consequence of absent T-cell function is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opportunistic infections and overwhelming septicemia, with such pathogens as Pneumocystis carinii,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vaccinia, varicella and measles. These infants also are at risk for lethal GVHD if given transfusions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with nonirradiated blood products. Lymphopenia is a common finding in X- linked SCID, but may be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masked by the presence of maternal T cells, which have crossed the placenta and engraftment in the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infant. Rarer forms of SCID may present with lymphocytosissecondary to proliferation of clones of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dysfunctional T cells. The severity of these immunologic dis- orders has made them logical, early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candidates for such advances in treat- ment as bone marrow transplantation and gene replacement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therapy. Early diagnosis and availability of matched donors for bone marrow transplantation remains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the most important prognostic factor for this group of severe disorders. SCID has become recognized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as a heteroge- neous group of disorders of stem cell and thymic differentiation,surface receptor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expression, cellular signaling and enzyme deficiency.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•Common Variable Immune Deficiency(CVID):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CVID is a diagnosis of exclusion, as the genetic basis remains un- known. It is clinically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indistinguishable from the other primary B-cell dis- orders and shares features of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hypogammaglobulinemia, recurrent pyo- genic infection,and impaired antibody responses. In contrast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to XLA, the onset usually is in the second or third decade of life. The clinical, immu- nologic, and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genetic diversity of CVID suggests that this may represent a common clinical framework for several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genetically distinct disorders? In addition to the features of impaired humoral immunity, up to 50% of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CVID patients exhibit some alteration of T-cell function. This has included low CD4/CD8 ratios, low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expression of T-cell activation molecules, ab- normal responses to T-cell mitogens, and reduced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lymphokine produc- tion. Passive replacement therapy with high dose IVIG has been shown to reduce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the incidence of pyogenic infections and is a standard of care for this group of illness.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2. Secondary immunodeficiency (SID)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SIDs are more common than PIDs and are the result of a primary illness, such as HIV, or other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external factor such as malnutrition or some drug regimens. Most SIDs can be resolved by treating the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primary condition.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Examples of secondary immunodeficiency disorders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* Malnutrition – Protein-calorie malnutrition is the biggest global cause of SIDs which can affect up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to 50% of the population in some communities in the developing world.vii T cell numbers and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function decrease in proportion to levels of protein deficiency, which leaves the patient particularly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susceptible to diarrhoea and respiratory tract infections. This form of immunodeficiency will usually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resolve if the malnutrition is treated.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* Chronic infections – There are a number of chronic infections which can lead to SID disorders, the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most common of which is acquired immune deficiency syndrome (AIDS), resulting from HIV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infection. The virus attacks CD4+ T cells, a type of white blood cell that plays a critical role in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preventing infection, and gradually depletes their numbers. Once the T cell count is less than 200 cells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per ml of blood, symptoms of AIDS begin to manifest and the patient is at high risk of recurrent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infections that will eventually lead to death. Anti-viral therapies, such as the HAART regimen (Highly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Active Antiretroviral Therapy), allow the T cell population a chance to recover and resume normal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function. These drugs have had a huge impact on increasing the life expectancy for HIV/AIDS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patients and improving their quality of life. Prior to the introduction of HAART, patients with HIV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diagnosed at age 20 had an average of 10 years before developing AIDS. Nowadays on average,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patients diagnosed at age 20 can expect to live well into their 60s.viii However, these drugs must be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taken every day for life as they are not curative, and are only available to patients and healthcare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systems that can afford them.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1322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Chioma Ezeoke </dc:creator>
  <cp:lastModifiedBy>Chioma Ezeoke </cp:lastModifiedBy>
</cp:coreProperties>
</file>