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73" w:rsidRPr="00607D73" w:rsidRDefault="00607D73" w:rsidP="00607D73">
      <w:r w:rsidRPr="00607D73">
        <w:t>KWAME-OKPU E.A OGHENEOVU</w:t>
      </w:r>
    </w:p>
    <w:p w:rsidR="00607D73" w:rsidRPr="00607D73" w:rsidRDefault="00607D73" w:rsidP="00607D73">
      <w:r w:rsidRPr="00607D73">
        <w:t>17/MHS01/174</w:t>
      </w:r>
    </w:p>
    <w:p w:rsidR="00607D73" w:rsidRPr="00607D73" w:rsidRDefault="00607D73" w:rsidP="00607D73">
      <w:r w:rsidRPr="00607D73">
        <w:t>ANATOMY</w:t>
      </w:r>
    </w:p>
    <w:p w:rsidR="00C746E6" w:rsidRPr="00607D73" w:rsidRDefault="00607D73">
      <w:r w:rsidRPr="00607D73">
        <w:t>Systemic Embryology (Organogenesis) - ANA 206</w:t>
      </w:r>
    </w:p>
    <w:p w:rsidR="00607D73" w:rsidRPr="00607D73" w:rsidRDefault="00607D73" w:rsidP="00607D73">
      <w:r w:rsidRPr="00607D73">
        <w:t>Question</w:t>
      </w:r>
    </w:p>
    <w:p w:rsidR="00607D73" w:rsidRPr="00607D73" w:rsidRDefault="00607D73" w:rsidP="00607D73">
      <w:pPr>
        <w:pStyle w:val="ListParagraph"/>
        <w:numPr>
          <w:ilvl w:val="0"/>
          <w:numId w:val="1"/>
        </w:numPr>
      </w:pPr>
      <w:r w:rsidRPr="00607D73">
        <w:t>Discuss the rotation of the intestine</w:t>
      </w:r>
    </w:p>
    <w:p w:rsidR="00607D73" w:rsidRPr="00607D73" w:rsidRDefault="00607D73" w:rsidP="00607D73">
      <w:pPr>
        <w:pStyle w:val="ListParagraph"/>
        <w:rPr>
          <w:b/>
        </w:rPr>
      </w:pPr>
      <w:r w:rsidRPr="00607D73">
        <w:rPr>
          <w:b/>
        </w:rPr>
        <w:t>INTRODUCTION:</w:t>
      </w:r>
    </w:p>
    <w:p w:rsidR="00607D73" w:rsidRDefault="00607D73" w:rsidP="00607D73">
      <w:r w:rsidRPr="00607D73">
        <w:t>During normal abdominal development, the 3 divisions of the GI tract (</w:t>
      </w:r>
      <w:proofErr w:type="spellStart"/>
      <w:r w:rsidRPr="00607D73">
        <w:t>ie</w:t>
      </w:r>
      <w:proofErr w:type="spellEnd"/>
      <w:r w:rsidRPr="00607D73">
        <w:t xml:space="preserve">, foregut, </w:t>
      </w:r>
      <w:proofErr w:type="spellStart"/>
      <w:r w:rsidRPr="00607D73">
        <w:t>midgut</w:t>
      </w:r>
      <w:proofErr w:type="spellEnd"/>
      <w:r w:rsidRPr="00607D73">
        <w:t xml:space="preserve">, hindgut) herniate out from the abdominal cavity, where they then undergo a 270º </w:t>
      </w:r>
      <w:proofErr w:type="spellStart"/>
      <w:r w:rsidRPr="00607D73">
        <w:t>counterclockwise</w:t>
      </w:r>
      <w:proofErr w:type="spellEnd"/>
      <w:r w:rsidRPr="00607D73">
        <w:t xml:space="preserve"> rotation around the superior mesenteric vessels. Following this rotation, the bowels return to the abdominal cavity, with fixation of the </w:t>
      </w:r>
      <w:proofErr w:type="spellStart"/>
      <w:r w:rsidRPr="00607D73">
        <w:t>duodenojejunal</w:t>
      </w:r>
      <w:proofErr w:type="spellEnd"/>
      <w:r w:rsidRPr="00607D73">
        <w:t xml:space="preserve"> loop to the left of the midline and the cecum in the right lower quadrant.</w:t>
      </w:r>
    </w:p>
    <w:p w:rsidR="00607D73" w:rsidRPr="00607D73" w:rsidRDefault="00607D73" w:rsidP="00607D73">
      <w:r w:rsidRPr="00607D73">
        <w:t xml:space="preserve">The </w:t>
      </w:r>
      <w:proofErr w:type="spellStart"/>
      <w:r w:rsidRPr="00607D73">
        <w:t>midgut</w:t>
      </w:r>
      <w:proofErr w:type="spellEnd"/>
      <w:r w:rsidRPr="00607D73">
        <w:t xml:space="preserve"> extends from the apex of the duodenal loop, which is fixed to the large liver anlage via the bile duct, to the last third of the transverse </w:t>
      </w:r>
      <w:proofErr w:type="spellStart"/>
      <w:proofErr w:type="gramStart"/>
      <w:r w:rsidRPr="00607D73">
        <w:t>colon.</w:t>
      </w:r>
      <w:r w:rsidRPr="00607D73">
        <w:t>Its</w:t>
      </w:r>
      <w:proofErr w:type="spellEnd"/>
      <w:proofErr w:type="gramEnd"/>
      <w:r w:rsidRPr="00607D73">
        <w:t xml:space="preserve"> parts are:</w:t>
      </w:r>
    </w:p>
    <w:p w:rsidR="00607D73" w:rsidRPr="00607D73" w:rsidRDefault="00607D73" w:rsidP="00607D73">
      <w:pPr>
        <w:pStyle w:val="ListParagraph"/>
        <w:numPr>
          <w:ilvl w:val="0"/>
          <w:numId w:val="2"/>
        </w:numPr>
      </w:pPr>
      <w:r w:rsidRPr="00607D73">
        <w:t xml:space="preserve">Inferior part of the duodenum with the </w:t>
      </w:r>
      <w:proofErr w:type="spellStart"/>
      <w:r w:rsidRPr="00607D73">
        <w:t>duodeno-jejunal</w:t>
      </w:r>
      <w:proofErr w:type="spellEnd"/>
      <w:r w:rsidRPr="00607D73">
        <w:t xml:space="preserve"> bend</w:t>
      </w:r>
    </w:p>
    <w:p w:rsidR="00607D73" w:rsidRPr="00607D73" w:rsidRDefault="00607D73" w:rsidP="00607D73">
      <w:pPr>
        <w:pStyle w:val="ListParagraph"/>
        <w:numPr>
          <w:ilvl w:val="0"/>
          <w:numId w:val="2"/>
        </w:numPr>
      </w:pPr>
      <w:r w:rsidRPr="00607D73">
        <w:t>Jejunum</w:t>
      </w:r>
    </w:p>
    <w:p w:rsidR="00607D73" w:rsidRPr="00607D73" w:rsidRDefault="00607D73" w:rsidP="00607D73">
      <w:pPr>
        <w:pStyle w:val="ListParagraph"/>
        <w:numPr>
          <w:ilvl w:val="0"/>
          <w:numId w:val="2"/>
        </w:numPr>
      </w:pPr>
      <w:r w:rsidRPr="00607D73">
        <w:t xml:space="preserve">Ileum with the </w:t>
      </w:r>
      <w:proofErr w:type="spellStart"/>
      <w:r w:rsidRPr="00607D73">
        <w:t>iliocaecal</w:t>
      </w:r>
      <w:proofErr w:type="spellEnd"/>
      <w:r w:rsidRPr="00607D73">
        <w:t xml:space="preserve"> valve</w:t>
      </w:r>
    </w:p>
    <w:p w:rsidR="00607D73" w:rsidRPr="00607D73" w:rsidRDefault="00607D73" w:rsidP="00607D73">
      <w:pPr>
        <w:pStyle w:val="ListParagraph"/>
        <w:numPr>
          <w:ilvl w:val="0"/>
          <w:numId w:val="2"/>
        </w:numPr>
      </w:pPr>
      <w:r w:rsidRPr="00607D73">
        <w:t>Cecum with vermiform appendix</w:t>
      </w:r>
    </w:p>
    <w:p w:rsidR="00607D73" w:rsidRPr="00607D73" w:rsidRDefault="00607D73" w:rsidP="00607D73">
      <w:pPr>
        <w:pStyle w:val="ListParagraph"/>
        <w:numPr>
          <w:ilvl w:val="0"/>
          <w:numId w:val="2"/>
        </w:numPr>
      </w:pPr>
      <w:r w:rsidRPr="00607D73">
        <w:t>Ascending colon</w:t>
      </w:r>
    </w:p>
    <w:p w:rsidR="00607D73" w:rsidRPr="00607D73" w:rsidRDefault="00607D73" w:rsidP="00607D73">
      <w:pPr>
        <w:pStyle w:val="ListParagraph"/>
        <w:numPr>
          <w:ilvl w:val="0"/>
          <w:numId w:val="2"/>
        </w:numPr>
      </w:pPr>
      <w:r w:rsidRPr="00607D73">
        <w:t>Transverse colon (2/3)</w:t>
      </w:r>
    </w:p>
    <w:p w:rsidR="00607D73" w:rsidRDefault="00607D73" w:rsidP="00607D73">
      <w:pPr>
        <w:pStyle w:val="ListParagraph"/>
      </w:pPr>
      <w:r w:rsidRPr="00607D73">
        <w:t xml:space="preserve">The </w:t>
      </w:r>
      <w:proofErr w:type="spellStart"/>
      <w:r w:rsidRPr="00607D73">
        <w:t>midgut</w:t>
      </w:r>
      <w:proofErr w:type="spellEnd"/>
      <w:r w:rsidRPr="00607D73">
        <w:t xml:space="preserve"> is supplied with blood by the superior mesenteric artery and innervated by the </w:t>
      </w:r>
      <w:proofErr w:type="spellStart"/>
      <w:r w:rsidRPr="00607D73">
        <w:t>vagus</w:t>
      </w:r>
      <w:proofErr w:type="spellEnd"/>
      <w:r w:rsidRPr="00607D73">
        <w:t xml:space="preserve"> nerve (CN X). Within the whole </w:t>
      </w:r>
      <w:proofErr w:type="spellStart"/>
      <w:r w:rsidRPr="00607D73">
        <w:t>midgut</w:t>
      </w:r>
      <w:proofErr w:type="spellEnd"/>
      <w:r w:rsidRPr="00607D73">
        <w:t xml:space="preserve"> and rectum unit there exists only one dorsal </w:t>
      </w:r>
      <w:proofErr w:type="spellStart"/>
      <w:r w:rsidRPr="00607D73">
        <w:t>mesenterium</w:t>
      </w:r>
      <w:proofErr w:type="spellEnd"/>
      <w:r w:rsidRPr="00607D73">
        <w:t xml:space="preserve">, the ventral being </w:t>
      </w:r>
      <w:proofErr w:type="spellStart"/>
      <w:r w:rsidRPr="00607D73">
        <w:t>readsorbed</w:t>
      </w:r>
      <w:proofErr w:type="spellEnd"/>
      <w:r w:rsidRPr="00607D73">
        <w:t xml:space="preserve">. Differentiation occurs in a </w:t>
      </w:r>
      <w:proofErr w:type="spellStart"/>
      <w:r w:rsidRPr="00607D73">
        <w:t>cranio</w:t>
      </w:r>
      <w:proofErr w:type="spellEnd"/>
      <w:r w:rsidRPr="00607D73">
        <w:t xml:space="preserve"> caudal sequence within a time window of roughly one week.</w:t>
      </w:r>
    </w:p>
    <w:p w:rsidR="00607D73" w:rsidRDefault="00607D73" w:rsidP="00607D73">
      <w:pPr>
        <w:pStyle w:val="ListParagraph"/>
      </w:pPr>
    </w:p>
    <w:p w:rsidR="00607D73" w:rsidRDefault="00607D73" w:rsidP="00607D73">
      <w:pPr>
        <w:pStyle w:val="ListParagraph"/>
      </w:pPr>
    </w:p>
    <w:p w:rsidR="00607D73" w:rsidRDefault="00607D73" w:rsidP="00607D73">
      <w:pPr>
        <w:pStyle w:val="ListParagraph"/>
      </w:pPr>
    </w:p>
    <w:p w:rsidR="00607D73" w:rsidRDefault="00607D73" w:rsidP="00607D73">
      <w:pPr>
        <w:pStyle w:val="ListParagraph"/>
      </w:pPr>
    </w:p>
    <w:p w:rsidR="00607D73" w:rsidRDefault="00607D73" w:rsidP="00607D73">
      <w:pPr>
        <w:pStyle w:val="ListParagraph"/>
      </w:pPr>
    </w:p>
    <w:p w:rsidR="00607D73" w:rsidRDefault="00607D73" w:rsidP="00607D73">
      <w:pPr>
        <w:pStyle w:val="ListParagraph"/>
      </w:pPr>
    </w:p>
    <w:p w:rsidR="00607D73" w:rsidRDefault="00607D73" w:rsidP="00607D73">
      <w:pPr>
        <w:pStyle w:val="ListParagraph"/>
      </w:pPr>
    </w:p>
    <w:p w:rsidR="00607D73" w:rsidRDefault="00607D73" w:rsidP="00607D73">
      <w:pPr>
        <w:pStyle w:val="ListParagraph"/>
      </w:pPr>
    </w:p>
    <w:p w:rsidR="00607D73" w:rsidRDefault="00607D73" w:rsidP="00607D73">
      <w:pPr>
        <w:pStyle w:val="ListParagraph"/>
      </w:pPr>
    </w:p>
    <w:p w:rsidR="00607D73" w:rsidRDefault="00607D73" w:rsidP="00607D73">
      <w:pPr>
        <w:pStyle w:val="ListParagraph"/>
        <w:rPr>
          <w:b/>
        </w:rPr>
      </w:pPr>
      <w:r w:rsidRPr="00607D73">
        <w:rPr>
          <w:b/>
        </w:rPr>
        <w:lastRenderedPageBreak/>
        <w:t>INTESTINAL ROTATION</w:t>
      </w:r>
    </w:p>
    <w:p w:rsidR="00B21539" w:rsidRDefault="0034027F" w:rsidP="00B21539">
      <w:pPr>
        <w:pStyle w:val="ListParagraph"/>
        <w:numPr>
          <w:ilvl w:val="0"/>
          <w:numId w:val="3"/>
        </w:numPr>
      </w:pPr>
      <w:r w:rsidRPr="0034027F">
        <w:t>Normal embryologic development of the alimentary tract:</w:t>
      </w:r>
    </w:p>
    <w:p w:rsidR="00B21539" w:rsidRDefault="0034027F" w:rsidP="00B21539">
      <w:pPr>
        <w:pStyle w:val="ListParagraph"/>
      </w:pPr>
      <w:r w:rsidRPr="0034027F">
        <w:t xml:space="preserve">The alimentary tract develops from the embryologic foregut, </w:t>
      </w:r>
      <w:proofErr w:type="spellStart"/>
      <w:r w:rsidRPr="0034027F">
        <w:t>midgut</w:t>
      </w:r>
      <w:proofErr w:type="spellEnd"/>
      <w:r w:rsidRPr="0034027F">
        <w:t xml:space="preserve">, and hindgut. Normal rotation takes place around the superior mesenteric artery (SMA) as the axis. It is described by referring to 2 ends of the alimentary canal, the proximal </w:t>
      </w:r>
      <w:proofErr w:type="spellStart"/>
      <w:r w:rsidRPr="0034027F">
        <w:t>duodenojejunal</w:t>
      </w:r>
      <w:proofErr w:type="spellEnd"/>
      <w:r w:rsidRPr="0034027F">
        <w:t xml:space="preserve"> loop and the distal </w:t>
      </w:r>
      <w:proofErr w:type="spellStart"/>
      <w:r w:rsidRPr="0034027F">
        <w:t>cecocolic</w:t>
      </w:r>
      <w:proofErr w:type="spellEnd"/>
      <w:r w:rsidRPr="0034027F">
        <w:t xml:space="preserve"> loop, and is usually divided into 3 stages. Both loops make a total of 270° in rotation during normal development. Both loops start in a vertical plane parallel to the SMA and end in a horizontal plane. </w:t>
      </w:r>
    </w:p>
    <w:p w:rsidR="00B21539" w:rsidRDefault="00B21539" w:rsidP="00B21539">
      <w:pPr>
        <w:pStyle w:val="ListParagraph"/>
      </w:pPr>
    </w:p>
    <w:p w:rsidR="00B21539" w:rsidRDefault="00B21539" w:rsidP="00B21539">
      <w:pPr>
        <w:pStyle w:val="ListParagraph"/>
      </w:pPr>
      <w:r>
        <w:t xml:space="preserve">At day </w:t>
      </w:r>
      <w:proofErr w:type="gramStart"/>
      <w:r>
        <w:t xml:space="preserve">32 </w:t>
      </w:r>
      <w:r w:rsidRPr="00607D73">
        <w:t>,</w:t>
      </w:r>
      <w:proofErr w:type="gramEnd"/>
      <w:r w:rsidRPr="00607D73">
        <w:t xml:space="preserve"> the </w:t>
      </w:r>
      <w:proofErr w:type="spellStart"/>
      <w:r w:rsidRPr="00607D73">
        <w:t>midgut</w:t>
      </w:r>
      <w:proofErr w:type="spellEnd"/>
      <w:r w:rsidRPr="00607D73">
        <w:t xml:space="preserve"> begins to extend into the umbilical coelom and forms the umbilical loop, whereby initially from the apex only a wide connection to the umbilical vesicle exists. In the further development this junction becomes constricted to become the omphalomesenteric duct. Mostly it is later obliterated, but can also partially remain as a Meckel's diverticulum. In the beginning the umbilical loop is positioned </w:t>
      </w:r>
      <w:proofErr w:type="spellStart"/>
      <w:r w:rsidRPr="00607D73">
        <w:t>sagittally</w:t>
      </w:r>
      <w:proofErr w:type="spellEnd"/>
      <w:r w:rsidRPr="00607D73">
        <w:t>.</w:t>
      </w:r>
    </w:p>
    <w:p w:rsidR="00B21539" w:rsidRDefault="00B21539" w:rsidP="00B21539">
      <w:pPr>
        <w:pStyle w:val="ListParagraph"/>
      </w:pPr>
    </w:p>
    <w:p w:rsidR="00B21539" w:rsidRPr="00607D73" w:rsidRDefault="00B21539" w:rsidP="00B21539">
      <w:pPr>
        <w:pStyle w:val="ListParagraph"/>
      </w:pPr>
      <w:r>
        <w:rPr>
          <w:noProof/>
          <w:lang w:eastAsia="en-GB"/>
        </w:rPr>
        <w:drawing>
          <wp:inline distT="0" distB="0" distL="0" distR="0">
            <wp:extent cx="4410075" cy="3333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3b1_Darmdrehung13.gif"/>
                    <pic:cNvPicPr/>
                  </pic:nvPicPr>
                  <pic:blipFill>
                    <a:blip r:embed="rId5">
                      <a:extLst>
                        <a:ext uri="{28A0092B-C50C-407E-A947-70E740481C1C}">
                          <a14:useLocalDpi xmlns:a14="http://schemas.microsoft.com/office/drawing/2010/main" val="0"/>
                        </a:ext>
                      </a:extLst>
                    </a:blip>
                    <a:stretch>
                      <a:fillRect/>
                    </a:stretch>
                  </pic:blipFill>
                  <pic:spPr>
                    <a:xfrm>
                      <a:off x="0" y="0"/>
                      <a:ext cx="4410075" cy="3333750"/>
                    </a:xfrm>
                    <a:prstGeom prst="rect">
                      <a:avLst/>
                    </a:prstGeom>
                  </pic:spPr>
                </pic:pic>
              </a:graphicData>
            </a:graphic>
          </wp:inline>
        </w:drawing>
      </w:r>
    </w:p>
    <w:p w:rsidR="00B21539" w:rsidRPr="00607D73" w:rsidRDefault="00B21539" w:rsidP="00B21539">
      <w:pPr>
        <w:pStyle w:val="ListParagraph"/>
      </w:pPr>
    </w:p>
    <w:p w:rsidR="00B21539" w:rsidRDefault="00B21539" w:rsidP="00B21539"/>
    <w:tbl>
      <w:tblPr>
        <w:tblW w:w="7275" w:type="dxa"/>
        <w:tblCellSpacing w:w="0" w:type="dxa"/>
        <w:shd w:val="clear" w:color="auto" w:fill="FFFFF0"/>
        <w:tblCellMar>
          <w:left w:w="0" w:type="dxa"/>
          <w:right w:w="0" w:type="dxa"/>
        </w:tblCellMar>
        <w:tblLook w:val="04A0" w:firstRow="1" w:lastRow="0" w:firstColumn="1" w:lastColumn="0" w:noHBand="0" w:noVBand="1"/>
      </w:tblPr>
      <w:tblGrid>
        <w:gridCol w:w="6975"/>
        <w:gridCol w:w="300"/>
      </w:tblGrid>
      <w:tr w:rsidR="00B21539" w:rsidRPr="00B21539" w:rsidTr="00B21539">
        <w:trPr>
          <w:tblCellSpacing w:w="0" w:type="dxa"/>
        </w:trPr>
        <w:tc>
          <w:tcPr>
            <w:tcW w:w="6975" w:type="dxa"/>
            <w:shd w:val="clear" w:color="auto" w:fill="FFFFF0"/>
            <w:hideMark/>
          </w:tcPr>
          <w:tbl>
            <w:tblPr>
              <w:tblW w:w="6975" w:type="dxa"/>
              <w:tblCellSpacing w:w="0" w:type="dxa"/>
              <w:tblCellMar>
                <w:left w:w="0" w:type="dxa"/>
                <w:right w:w="0" w:type="dxa"/>
              </w:tblCellMar>
              <w:tblLook w:val="04A0" w:firstRow="1" w:lastRow="0" w:firstColumn="1" w:lastColumn="0" w:noHBand="0" w:noVBand="1"/>
            </w:tblPr>
            <w:tblGrid>
              <w:gridCol w:w="6975"/>
            </w:tblGrid>
            <w:tr w:rsidR="00B21539" w:rsidRPr="00B21539">
              <w:trPr>
                <w:tblCellSpacing w:w="0" w:type="dxa"/>
              </w:trPr>
              <w:tc>
                <w:tcPr>
                  <w:tcW w:w="0" w:type="auto"/>
                  <w:hideMark/>
                </w:tcPr>
                <w:tbl>
                  <w:tblPr>
                    <w:tblW w:w="6975" w:type="dxa"/>
                    <w:tblCellSpacing w:w="0" w:type="dxa"/>
                    <w:tblCellMar>
                      <w:left w:w="0" w:type="dxa"/>
                      <w:right w:w="0" w:type="dxa"/>
                    </w:tblCellMar>
                    <w:tblLook w:val="04A0" w:firstRow="1" w:lastRow="0" w:firstColumn="1" w:lastColumn="0" w:noHBand="0" w:noVBand="1"/>
                  </w:tblPr>
                  <w:tblGrid>
                    <w:gridCol w:w="3375"/>
                    <w:gridCol w:w="225"/>
                    <w:gridCol w:w="3375"/>
                  </w:tblGrid>
                  <w:tr w:rsidR="00B21539" w:rsidRPr="00B21539">
                    <w:trPr>
                      <w:tblCellSpacing w:w="0" w:type="dxa"/>
                    </w:trPr>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B21539" w:rsidRPr="00B21539">
                          <w:trPr>
                            <w:tblCellSpacing w:w="0" w:type="dxa"/>
                          </w:trPr>
                          <w:tc>
                            <w:tcPr>
                              <w:tcW w:w="300" w:type="dxa"/>
                              <w:hideMark/>
                            </w:tcPr>
                            <w:p w:rsidR="00B21539" w:rsidRPr="00B21539" w:rsidRDefault="00B21539" w:rsidP="00B21539">
                              <w:r w:rsidRPr="00B21539">
                                <w:rPr>
                                  <w:b/>
                                  <w:bCs/>
                                </w:rPr>
                                <w:t>1</w:t>
                              </w:r>
                              <w:r w:rsidRPr="00B21539">
                                <w:br/>
                              </w:r>
                              <w:r w:rsidRPr="00B21539">
                                <w:rPr>
                                  <w:b/>
                                  <w:bCs/>
                                </w:rPr>
                                <w:t>2</w:t>
                              </w:r>
                              <w:r w:rsidRPr="00B21539">
                                <w:rPr>
                                  <w:b/>
                                  <w:bCs/>
                                </w:rPr>
                                <w:br/>
                                <w:t>3</w:t>
                              </w:r>
                            </w:p>
                          </w:tc>
                          <w:tc>
                            <w:tcPr>
                              <w:tcW w:w="3075" w:type="dxa"/>
                              <w:hideMark/>
                            </w:tcPr>
                            <w:p w:rsidR="00B21539" w:rsidRPr="00B21539" w:rsidRDefault="00B21539" w:rsidP="00B21539">
                              <w:r w:rsidRPr="00B21539">
                                <w:t>Stomach</w:t>
                              </w:r>
                              <w:r w:rsidRPr="00B21539">
                                <w:br/>
                              </w:r>
                              <w:proofErr w:type="spellStart"/>
                              <w:r w:rsidRPr="00B21539">
                                <w:t>Mesenterium</w:t>
                              </w:r>
                              <w:proofErr w:type="spellEnd"/>
                              <w:r w:rsidRPr="00B21539">
                                <w:br/>
                                <w:t>Parietal peritoneum</w:t>
                              </w:r>
                            </w:p>
                          </w:tc>
                        </w:tr>
                      </w:tbl>
                      <w:p w:rsidR="00B21539" w:rsidRPr="00B21539" w:rsidRDefault="00B21539" w:rsidP="00B21539"/>
                    </w:tc>
                    <w:tc>
                      <w:tcPr>
                        <w:tcW w:w="225" w:type="dxa"/>
                        <w:hideMark/>
                      </w:tcPr>
                      <w:p w:rsidR="00B21539" w:rsidRPr="00B21539" w:rsidRDefault="00B21539" w:rsidP="00B21539"/>
                    </w:tc>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B21539" w:rsidRPr="00B21539">
                          <w:trPr>
                            <w:tblCellSpacing w:w="0" w:type="dxa"/>
                          </w:trPr>
                          <w:tc>
                            <w:tcPr>
                              <w:tcW w:w="300" w:type="dxa"/>
                              <w:hideMark/>
                            </w:tcPr>
                            <w:p w:rsidR="00B21539" w:rsidRPr="00B21539" w:rsidRDefault="00B21539" w:rsidP="00B21539">
                              <w:r w:rsidRPr="00B21539">
                                <w:rPr>
                                  <w:b/>
                                  <w:bCs/>
                                </w:rPr>
                                <w:t>4</w:t>
                              </w:r>
                              <w:r w:rsidRPr="00B21539">
                                <w:rPr>
                                  <w:b/>
                                  <w:bCs/>
                                </w:rPr>
                                <w:br/>
                                <w:t>5</w:t>
                              </w:r>
                              <w:r w:rsidRPr="00B21539">
                                <w:rPr>
                                  <w:b/>
                                  <w:bCs/>
                                </w:rPr>
                                <w:br/>
                                <w:t>6</w:t>
                              </w:r>
                            </w:p>
                          </w:tc>
                          <w:tc>
                            <w:tcPr>
                              <w:tcW w:w="3075" w:type="dxa"/>
                              <w:hideMark/>
                            </w:tcPr>
                            <w:p w:rsidR="00B21539" w:rsidRPr="00B21539" w:rsidRDefault="00B21539" w:rsidP="00B21539">
                              <w:r w:rsidRPr="00B21539">
                                <w:t>Intestinal loop</w:t>
                              </w:r>
                              <w:r w:rsidRPr="00B21539">
                                <w:br/>
                                <w:t>Omphalomesenteric duct</w:t>
                              </w:r>
                              <w:r w:rsidRPr="00B21539">
                                <w:br/>
                                <w:t>Cecum</w:t>
                              </w:r>
                            </w:p>
                          </w:tc>
                        </w:tr>
                      </w:tbl>
                      <w:p w:rsidR="00B21539" w:rsidRPr="00B21539" w:rsidRDefault="00B21539" w:rsidP="00B21539"/>
                    </w:tc>
                  </w:tr>
                </w:tbl>
                <w:p w:rsidR="00B21539" w:rsidRPr="00B21539" w:rsidRDefault="00B21539" w:rsidP="00B21539"/>
              </w:tc>
            </w:tr>
          </w:tbl>
          <w:p w:rsidR="00B21539" w:rsidRPr="00B21539" w:rsidRDefault="00B21539" w:rsidP="00B21539"/>
        </w:tc>
        <w:tc>
          <w:tcPr>
            <w:tcW w:w="300" w:type="dxa"/>
            <w:shd w:val="clear" w:color="auto" w:fill="FFFFF0"/>
            <w:vAlign w:val="center"/>
            <w:hideMark/>
          </w:tcPr>
          <w:p w:rsidR="00B21539" w:rsidRPr="00B21539" w:rsidRDefault="00B21539" w:rsidP="00B21539"/>
        </w:tc>
      </w:tr>
      <w:tr w:rsidR="00B21539" w:rsidRPr="00B21539" w:rsidTr="00B21539">
        <w:trPr>
          <w:tblCellSpacing w:w="0" w:type="dxa"/>
        </w:trPr>
        <w:tc>
          <w:tcPr>
            <w:tcW w:w="6975" w:type="dxa"/>
            <w:shd w:val="clear" w:color="auto" w:fill="FFFFF0"/>
            <w:hideMark/>
          </w:tcPr>
          <w:p w:rsidR="00B21539" w:rsidRPr="00B21539" w:rsidRDefault="00B21539" w:rsidP="00B21539"/>
        </w:tc>
        <w:tc>
          <w:tcPr>
            <w:tcW w:w="0" w:type="auto"/>
            <w:shd w:val="clear" w:color="auto" w:fill="FFFFF0"/>
            <w:vAlign w:val="center"/>
            <w:hideMark/>
          </w:tcPr>
          <w:p w:rsidR="00B21539" w:rsidRPr="00B21539" w:rsidRDefault="00B21539" w:rsidP="00B21539"/>
        </w:tc>
      </w:tr>
    </w:tbl>
    <w:p w:rsidR="00B21539" w:rsidRDefault="00B21539" w:rsidP="00B21539">
      <w:r w:rsidRPr="00B21539">
        <w:lastRenderedPageBreak/>
        <w:t xml:space="preserve">Only when the umbilical loop lengthens and grows into the umbilical coelom does it experience a rotation of 90 degrees in a clockwise direction as seen from the embryo. The cranial pedicle comes to lie to the right and the caudal to the </w:t>
      </w:r>
      <w:proofErr w:type="gramStart"/>
      <w:r w:rsidRPr="00B21539">
        <w:t xml:space="preserve">left </w:t>
      </w:r>
      <w:r>
        <w:t>.</w:t>
      </w:r>
      <w:r w:rsidRPr="00B21539">
        <w:t>The</w:t>
      </w:r>
      <w:proofErr w:type="gramEnd"/>
      <w:r w:rsidRPr="00B21539">
        <w:t xml:space="preserve"> umbilical loop now has a horizontal position. Through the </w:t>
      </w:r>
      <w:proofErr w:type="spellStart"/>
      <w:r w:rsidRPr="00B21539">
        <w:t>cranio</w:t>
      </w:r>
      <w:proofErr w:type="spellEnd"/>
      <w:r w:rsidRPr="00B21539">
        <w:t>-caudal growth gradient, the cranial pedicle forms first through lengthening of several loops in the umbilical coelom.</w:t>
      </w:r>
    </w:p>
    <w:p w:rsidR="00B21539" w:rsidRDefault="00B21539" w:rsidP="00B21539">
      <w:r>
        <w:rPr>
          <w:noProof/>
          <w:lang w:eastAsia="en-GB"/>
        </w:rPr>
        <w:drawing>
          <wp:inline distT="0" distB="0" distL="0" distR="0">
            <wp:extent cx="4410075" cy="3333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3b2_Darmdrehung14mit.gif"/>
                    <pic:cNvPicPr/>
                  </pic:nvPicPr>
                  <pic:blipFill>
                    <a:blip r:embed="rId6">
                      <a:extLst>
                        <a:ext uri="{28A0092B-C50C-407E-A947-70E740481C1C}">
                          <a14:useLocalDpi xmlns:a14="http://schemas.microsoft.com/office/drawing/2010/main" val="0"/>
                        </a:ext>
                      </a:extLst>
                    </a:blip>
                    <a:stretch>
                      <a:fillRect/>
                    </a:stretch>
                  </pic:blipFill>
                  <pic:spPr>
                    <a:xfrm>
                      <a:off x="0" y="0"/>
                      <a:ext cx="4410075" cy="3333750"/>
                    </a:xfrm>
                    <a:prstGeom prst="rect">
                      <a:avLst/>
                    </a:prstGeom>
                  </pic:spPr>
                </pic:pic>
              </a:graphicData>
            </a:graphic>
          </wp:inline>
        </w:drawing>
      </w:r>
    </w:p>
    <w:tbl>
      <w:tblPr>
        <w:tblW w:w="6975" w:type="dxa"/>
        <w:tblCellSpacing w:w="0" w:type="dxa"/>
        <w:shd w:val="clear" w:color="auto" w:fill="FFFFF0"/>
        <w:tblCellMar>
          <w:left w:w="0" w:type="dxa"/>
          <w:right w:w="0" w:type="dxa"/>
        </w:tblCellMar>
        <w:tblLook w:val="04A0" w:firstRow="1" w:lastRow="0" w:firstColumn="1" w:lastColumn="0" w:noHBand="0" w:noVBand="1"/>
      </w:tblPr>
      <w:tblGrid>
        <w:gridCol w:w="6975"/>
      </w:tblGrid>
      <w:tr w:rsidR="0091637E" w:rsidRPr="00BA1745" w:rsidTr="0091637E">
        <w:trPr>
          <w:tblCellSpacing w:w="0" w:type="dxa"/>
        </w:trPr>
        <w:tc>
          <w:tcPr>
            <w:tcW w:w="6975" w:type="dxa"/>
            <w:shd w:val="clear" w:color="auto" w:fill="FFFFF0"/>
            <w:hideMark/>
          </w:tcPr>
          <w:tbl>
            <w:tblPr>
              <w:tblW w:w="6975" w:type="dxa"/>
              <w:tblCellSpacing w:w="0" w:type="dxa"/>
              <w:tblCellMar>
                <w:left w:w="0" w:type="dxa"/>
                <w:right w:w="0" w:type="dxa"/>
              </w:tblCellMar>
              <w:tblLook w:val="04A0" w:firstRow="1" w:lastRow="0" w:firstColumn="1" w:lastColumn="0" w:noHBand="0" w:noVBand="1"/>
            </w:tblPr>
            <w:tblGrid>
              <w:gridCol w:w="6975"/>
            </w:tblGrid>
            <w:tr w:rsidR="0091637E" w:rsidRPr="00BA1745">
              <w:trPr>
                <w:tblCellSpacing w:w="0" w:type="dxa"/>
              </w:trPr>
              <w:tc>
                <w:tcPr>
                  <w:tcW w:w="0" w:type="auto"/>
                  <w:hideMark/>
                </w:tcPr>
                <w:tbl>
                  <w:tblPr>
                    <w:tblW w:w="6975" w:type="dxa"/>
                    <w:tblCellSpacing w:w="0" w:type="dxa"/>
                    <w:tblCellMar>
                      <w:left w:w="0" w:type="dxa"/>
                      <w:right w:w="0" w:type="dxa"/>
                    </w:tblCellMar>
                    <w:tblLook w:val="04A0" w:firstRow="1" w:lastRow="0" w:firstColumn="1" w:lastColumn="0" w:noHBand="0" w:noVBand="1"/>
                  </w:tblPr>
                  <w:tblGrid>
                    <w:gridCol w:w="3375"/>
                    <w:gridCol w:w="225"/>
                    <w:gridCol w:w="3375"/>
                  </w:tblGrid>
                  <w:tr w:rsidR="0091637E" w:rsidRPr="00BA1745">
                    <w:trPr>
                      <w:tblCellSpacing w:w="0" w:type="dxa"/>
                    </w:trPr>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91637E" w:rsidRPr="00BA1745">
                          <w:trPr>
                            <w:tblCellSpacing w:w="0" w:type="dxa"/>
                          </w:trPr>
                          <w:tc>
                            <w:tcPr>
                              <w:tcW w:w="300" w:type="dxa"/>
                              <w:hideMark/>
                            </w:tcPr>
                            <w:p w:rsidR="0091637E" w:rsidRPr="00BA1745" w:rsidRDefault="0091637E" w:rsidP="00BA1745">
                              <w:r w:rsidRPr="00BA1745">
                                <w:rPr>
                                  <w:b/>
                                  <w:bCs/>
                                </w:rPr>
                                <w:t>1</w:t>
                              </w:r>
                              <w:r w:rsidRPr="00BA1745">
                                <w:br/>
                              </w:r>
                              <w:r w:rsidRPr="00BA1745">
                                <w:rPr>
                                  <w:b/>
                                  <w:bCs/>
                                </w:rPr>
                                <w:t>2</w:t>
                              </w:r>
                              <w:r w:rsidRPr="00BA1745">
                                <w:rPr>
                                  <w:b/>
                                  <w:bCs/>
                                </w:rPr>
                                <w:br/>
                                <w:t>3</w:t>
                              </w:r>
                            </w:p>
                          </w:tc>
                          <w:tc>
                            <w:tcPr>
                              <w:tcW w:w="3075" w:type="dxa"/>
                              <w:hideMark/>
                            </w:tcPr>
                            <w:p w:rsidR="0091637E" w:rsidRPr="00BA1745" w:rsidRDefault="0091637E" w:rsidP="00BA1745">
                              <w:r w:rsidRPr="00BA1745">
                                <w:t>Stomach</w:t>
                              </w:r>
                              <w:r w:rsidRPr="00BA1745">
                                <w:br/>
                              </w:r>
                              <w:proofErr w:type="spellStart"/>
                              <w:r w:rsidRPr="00BA1745">
                                <w:t>Mesenterium</w:t>
                              </w:r>
                              <w:proofErr w:type="spellEnd"/>
                              <w:r w:rsidRPr="00BA1745">
                                <w:br/>
                                <w:t>Parietal peritoneum</w:t>
                              </w:r>
                            </w:p>
                          </w:tc>
                        </w:tr>
                      </w:tbl>
                      <w:p w:rsidR="0091637E" w:rsidRPr="00BA1745" w:rsidRDefault="0091637E" w:rsidP="00BA1745"/>
                    </w:tc>
                    <w:tc>
                      <w:tcPr>
                        <w:tcW w:w="225" w:type="dxa"/>
                        <w:hideMark/>
                      </w:tcPr>
                      <w:p w:rsidR="0091637E" w:rsidRPr="00BA1745" w:rsidRDefault="0091637E" w:rsidP="00BA1745"/>
                    </w:tc>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91637E" w:rsidRPr="00BA1745">
                          <w:trPr>
                            <w:tblCellSpacing w:w="0" w:type="dxa"/>
                          </w:trPr>
                          <w:tc>
                            <w:tcPr>
                              <w:tcW w:w="300" w:type="dxa"/>
                              <w:hideMark/>
                            </w:tcPr>
                            <w:p w:rsidR="0091637E" w:rsidRPr="00BA1745" w:rsidRDefault="0091637E" w:rsidP="00BA1745">
                              <w:r w:rsidRPr="00BA1745">
                                <w:rPr>
                                  <w:b/>
                                  <w:bCs/>
                                </w:rPr>
                                <w:t>4</w:t>
                              </w:r>
                              <w:r w:rsidRPr="00BA1745">
                                <w:rPr>
                                  <w:b/>
                                  <w:bCs/>
                                </w:rPr>
                                <w:br/>
                                <w:t>6</w:t>
                              </w:r>
                            </w:p>
                          </w:tc>
                          <w:tc>
                            <w:tcPr>
                              <w:tcW w:w="3075" w:type="dxa"/>
                              <w:hideMark/>
                            </w:tcPr>
                            <w:p w:rsidR="0091637E" w:rsidRPr="00BA1745" w:rsidRDefault="0091637E" w:rsidP="00BA1745">
                              <w:r w:rsidRPr="00BA1745">
                                <w:t>Intestinal loop</w:t>
                              </w:r>
                              <w:r w:rsidRPr="00BA1745">
                                <w:br/>
                                <w:t>Cecum</w:t>
                              </w:r>
                            </w:p>
                          </w:tc>
                        </w:tr>
                      </w:tbl>
                      <w:p w:rsidR="0091637E" w:rsidRPr="00BA1745" w:rsidRDefault="0091637E" w:rsidP="00BA1745"/>
                    </w:tc>
                  </w:tr>
                </w:tbl>
                <w:p w:rsidR="0091637E" w:rsidRPr="00BA1745" w:rsidRDefault="0091637E" w:rsidP="00BA1745"/>
              </w:tc>
            </w:tr>
          </w:tbl>
          <w:p w:rsidR="0091637E" w:rsidRPr="00BA1745" w:rsidRDefault="0091637E" w:rsidP="00BA1745"/>
        </w:tc>
      </w:tr>
      <w:tr w:rsidR="0091637E" w:rsidRPr="00BA1745" w:rsidTr="0091637E">
        <w:trPr>
          <w:tblCellSpacing w:w="0" w:type="dxa"/>
        </w:trPr>
        <w:tc>
          <w:tcPr>
            <w:tcW w:w="6975" w:type="dxa"/>
            <w:shd w:val="clear" w:color="auto" w:fill="FFFFF0"/>
            <w:hideMark/>
          </w:tcPr>
          <w:p w:rsidR="0091637E" w:rsidRPr="00BA1745" w:rsidRDefault="0091637E" w:rsidP="00BA1745"/>
        </w:tc>
      </w:tr>
    </w:tbl>
    <w:p w:rsidR="00B21539" w:rsidRDefault="00BA1745" w:rsidP="00B21539">
      <w:r w:rsidRPr="00BA1745">
        <w:t xml:space="preserve"> </w:t>
      </w:r>
      <w:r>
        <w:t>(</w:t>
      </w:r>
      <w:r w:rsidR="00B21539">
        <w:t xml:space="preserve">In the </w:t>
      </w:r>
      <w:proofErr w:type="gramStart"/>
      <w:r w:rsidR="00B21539">
        <w:t xml:space="preserve">structure </w:t>
      </w:r>
      <w:r>
        <w:t>)</w:t>
      </w:r>
      <w:r w:rsidR="00B21539">
        <w:t>above</w:t>
      </w:r>
      <w:proofErr w:type="gramEnd"/>
      <w:r w:rsidR="00B21539">
        <w:t xml:space="preserve"> </w:t>
      </w:r>
      <w:r w:rsidR="00B21539" w:rsidRPr="00B21539">
        <w:t>The navel opening is schematically indicated by the blue ring. The developing intestines invade the abdominal space, gliding into it.</w:t>
      </w:r>
    </w:p>
    <w:p w:rsidR="00B21539" w:rsidRDefault="00B21539" w:rsidP="00B21539"/>
    <w:p w:rsidR="00B21539" w:rsidRDefault="00B21539" w:rsidP="00B21539"/>
    <w:p w:rsidR="00B21539" w:rsidRDefault="00B21539" w:rsidP="00B21539"/>
    <w:p w:rsidR="00B21539" w:rsidRDefault="00B21539" w:rsidP="00B21539"/>
    <w:p w:rsidR="00B21539" w:rsidRDefault="00B21539" w:rsidP="00B21539"/>
    <w:p w:rsidR="00B21539" w:rsidRDefault="00B21539" w:rsidP="00B21539"/>
    <w:p w:rsidR="00B21539" w:rsidRDefault="00B21539" w:rsidP="00B21539"/>
    <w:p w:rsidR="00B21539" w:rsidRDefault="00B21539" w:rsidP="00B21539">
      <w:r w:rsidRPr="00B21539">
        <w:lastRenderedPageBreak/>
        <w:t>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cecum. Visually, it becomes an important fixed point for purposes of orientation.</w:t>
      </w:r>
    </w:p>
    <w:p w:rsidR="00B21539" w:rsidRDefault="00B21539" w:rsidP="00B21539">
      <w:r>
        <w:rPr>
          <w:noProof/>
          <w:lang w:eastAsia="en-GB"/>
        </w:rPr>
        <w:drawing>
          <wp:inline distT="0" distB="0" distL="0" distR="0">
            <wp:extent cx="4410075" cy="3333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3b3_Darmdrehung16mit.gif"/>
                    <pic:cNvPicPr/>
                  </pic:nvPicPr>
                  <pic:blipFill>
                    <a:blip r:embed="rId7">
                      <a:extLst>
                        <a:ext uri="{28A0092B-C50C-407E-A947-70E740481C1C}">
                          <a14:useLocalDpi xmlns:a14="http://schemas.microsoft.com/office/drawing/2010/main" val="0"/>
                        </a:ext>
                      </a:extLst>
                    </a:blip>
                    <a:stretch>
                      <a:fillRect/>
                    </a:stretch>
                  </pic:blipFill>
                  <pic:spPr>
                    <a:xfrm>
                      <a:off x="0" y="0"/>
                      <a:ext cx="4410075" cy="3333750"/>
                    </a:xfrm>
                    <a:prstGeom prst="rect">
                      <a:avLst/>
                    </a:prstGeom>
                  </pic:spPr>
                </pic:pic>
              </a:graphicData>
            </a:graphic>
          </wp:inline>
        </w:drawing>
      </w:r>
    </w:p>
    <w:tbl>
      <w:tblPr>
        <w:tblW w:w="6975" w:type="dxa"/>
        <w:tblCellSpacing w:w="0" w:type="dxa"/>
        <w:tblCellMar>
          <w:left w:w="0" w:type="dxa"/>
          <w:right w:w="0" w:type="dxa"/>
        </w:tblCellMar>
        <w:tblLook w:val="04A0" w:firstRow="1" w:lastRow="0" w:firstColumn="1" w:lastColumn="0" w:noHBand="0" w:noVBand="1"/>
      </w:tblPr>
      <w:tblGrid>
        <w:gridCol w:w="3375"/>
        <w:gridCol w:w="225"/>
        <w:gridCol w:w="3375"/>
      </w:tblGrid>
      <w:tr w:rsidR="0091637E" w:rsidRPr="00B21539" w:rsidTr="00C84470">
        <w:trPr>
          <w:tblCellSpacing w:w="0" w:type="dxa"/>
        </w:trPr>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91637E" w:rsidRPr="0091637E">
              <w:trPr>
                <w:tblCellSpacing w:w="0" w:type="dxa"/>
              </w:trPr>
              <w:tc>
                <w:tcPr>
                  <w:tcW w:w="300" w:type="dxa"/>
                  <w:hideMark/>
                </w:tcPr>
                <w:p w:rsidR="0091637E" w:rsidRPr="0091637E" w:rsidRDefault="0091637E" w:rsidP="0091637E">
                  <w:r w:rsidRPr="0091637E">
                    <w:rPr>
                      <w:rStyle w:val="HTMLSample"/>
                      <w:rFonts w:ascii="Times New Roman" w:eastAsiaTheme="minorHAnsi" w:hAnsi="Times New Roman" w:cs="Times New Roman"/>
                      <w:b/>
                      <w:bCs/>
                    </w:rPr>
                    <w:t>1</w:t>
                  </w:r>
                  <w:r w:rsidRPr="0091637E">
                    <w:br/>
                  </w:r>
                  <w:r w:rsidRPr="0091637E">
                    <w:rPr>
                      <w:rStyle w:val="HTMLSample"/>
                      <w:rFonts w:ascii="Times New Roman" w:eastAsiaTheme="minorHAnsi" w:hAnsi="Times New Roman" w:cs="Times New Roman"/>
                      <w:b/>
                      <w:bCs/>
                    </w:rPr>
                    <w:t>2</w:t>
                  </w:r>
                  <w:r w:rsidRPr="0091637E">
                    <w:rPr>
                      <w:b/>
                      <w:bCs/>
                    </w:rPr>
                    <w:br/>
                  </w:r>
                  <w:r w:rsidRPr="0091637E">
                    <w:rPr>
                      <w:rStyle w:val="HTMLSample"/>
                      <w:rFonts w:ascii="Times New Roman" w:eastAsiaTheme="minorHAnsi" w:hAnsi="Times New Roman" w:cs="Times New Roman"/>
                      <w:b/>
                      <w:bCs/>
                    </w:rPr>
                    <w:t>3</w:t>
                  </w:r>
                </w:p>
              </w:tc>
              <w:tc>
                <w:tcPr>
                  <w:tcW w:w="3075" w:type="dxa"/>
                  <w:hideMark/>
                </w:tcPr>
                <w:p w:rsidR="0091637E" w:rsidRPr="0091637E" w:rsidRDefault="0091637E" w:rsidP="0091637E">
                  <w:r w:rsidRPr="0091637E">
                    <w:rPr>
                      <w:rStyle w:val="HTMLSample"/>
                      <w:rFonts w:ascii="Times New Roman" w:eastAsiaTheme="minorHAnsi" w:hAnsi="Times New Roman" w:cs="Times New Roman"/>
                    </w:rPr>
                    <w:t>Stomach</w:t>
                  </w:r>
                  <w:r w:rsidRPr="0091637E">
                    <w:br/>
                  </w:r>
                  <w:proofErr w:type="spellStart"/>
                  <w:r w:rsidRPr="0091637E">
                    <w:rPr>
                      <w:rStyle w:val="HTMLSample"/>
                      <w:rFonts w:ascii="Times New Roman" w:eastAsiaTheme="minorHAnsi" w:hAnsi="Times New Roman" w:cs="Times New Roman"/>
                    </w:rPr>
                    <w:t>Mesenterium</w:t>
                  </w:r>
                  <w:proofErr w:type="spellEnd"/>
                  <w:r w:rsidRPr="0091637E">
                    <w:br/>
                  </w:r>
                  <w:r w:rsidRPr="0091637E">
                    <w:rPr>
                      <w:rStyle w:val="HTMLSample"/>
                      <w:rFonts w:ascii="Times New Roman" w:eastAsiaTheme="minorHAnsi" w:hAnsi="Times New Roman" w:cs="Times New Roman"/>
                    </w:rPr>
                    <w:t>Parietal peritoneum</w:t>
                  </w:r>
                </w:p>
              </w:tc>
            </w:tr>
          </w:tbl>
          <w:p w:rsidR="0091637E" w:rsidRPr="0091637E" w:rsidRDefault="0091637E" w:rsidP="0091637E"/>
        </w:tc>
        <w:tc>
          <w:tcPr>
            <w:tcW w:w="225" w:type="dxa"/>
            <w:shd w:val="clear" w:color="auto" w:fill="FFFFF0"/>
            <w:hideMark/>
          </w:tcPr>
          <w:p w:rsidR="0091637E" w:rsidRPr="0091637E" w:rsidRDefault="0091637E" w:rsidP="0091637E"/>
        </w:tc>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91637E" w:rsidRPr="0091637E">
              <w:trPr>
                <w:tblCellSpacing w:w="0" w:type="dxa"/>
              </w:trPr>
              <w:tc>
                <w:tcPr>
                  <w:tcW w:w="300" w:type="dxa"/>
                  <w:hideMark/>
                </w:tcPr>
                <w:p w:rsidR="0091637E" w:rsidRPr="0091637E" w:rsidRDefault="0091637E" w:rsidP="0091637E">
                  <w:r w:rsidRPr="0091637E">
                    <w:rPr>
                      <w:rStyle w:val="HTMLSample"/>
                      <w:rFonts w:ascii="Times New Roman" w:eastAsiaTheme="minorHAnsi" w:hAnsi="Times New Roman" w:cs="Times New Roman"/>
                      <w:b/>
                      <w:bCs/>
                    </w:rPr>
                    <w:t>4</w:t>
                  </w:r>
                  <w:r w:rsidRPr="0091637E">
                    <w:rPr>
                      <w:b/>
                      <w:bCs/>
                    </w:rPr>
                    <w:br/>
                  </w:r>
                  <w:r w:rsidRPr="0091637E">
                    <w:rPr>
                      <w:rStyle w:val="HTMLSample"/>
                      <w:rFonts w:ascii="Times New Roman" w:eastAsiaTheme="minorHAnsi" w:hAnsi="Times New Roman" w:cs="Times New Roman"/>
                      <w:b/>
                      <w:bCs/>
                    </w:rPr>
                    <w:t>6</w:t>
                  </w:r>
                </w:p>
              </w:tc>
              <w:tc>
                <w:tcPr>
                  <w:tcW w:w="3075" w:type="dxa"/>
                  <w:hideMark/>
                </w:tcPr>
                <w:p w:rsidR="0091637E" w:rsidRPr="0091637E" w:rsidRDefault="0091637E" w:rsidP="0091637E">
                  <w:r w:rsidRPr="0091637E">
                    <w:rPr>
                      <w:rStyle w:val="HTMLSample"/>
                      <w:rFonts w:ascii="Times New Roman" w:eastAsiaTheme="minorHAnsi" w:hAnsi="Times New Roman" w:cs="Times New Roman"/>
                    </w:rPr>
                    <w:t>Intestinal loop</w:t>
                  </w:r>
                  <w:r w:rsidRPr="0091637E">
                    <w:br/>
                  </w:r>
                  <w:r w:rsidRPr="0091637E">
                    <w:rPr>
                      <w:rStyle w:val="HTMLSample"/>
                      <w:rFonts w:ascii="Times New Roman" w:eastAsiaTheme="minorHAnsi" w:hAnsi="Times New Roman" w:cs="Times New Roman"/>
                    </w:rPr>
                    <w:t>Cecum</w:t>
                  </w:r>
                </w:p>
              </w:tc>
            </w:tr>
          </w:tbl>
          <w:p w:rsidR="0091637E" w:rsidRPr="0091637E" w:rsidRDefault="0091637E" w:rsidP="0091637E"/>
        </w:tc>
      </w:tr>
    </w:tbl>
    <w:p w:rsidR="00B21539" w:rsidRDefault="0091637E" w:rsidP="00B21539">
      <w:r>
        <w:t>(</w:t>
      </w:r>
      <w:r w:rsidR="00BA1745">
        <w:t>In the figure above</w:t>
      </w:r>
      <w:r>
        <w:t>)</w:t>
      </w:r>
      <w:r w:rsidR="00BA1745">
        <w:t xml:space="preserve"> </w:t>
      </w:r>
      <w:r w:rsidR="00BA1745" w:rsidRPr="00BA1745">
        <w:t>The entire intestinal loop has relocated in the umbilical coelom due to the limited space conditions in the abdominal cavity. The intestinal loop now has a horizontal orientation and the lengthening tube has formed several loops in the cranial pedicle. The caudal part is still straight.</w:t>
      </w:r>
    </w:p>
    <w:p w:rsidR="00B21539" w:rsidRDefault="00B21539" w:rsidP="00B21539"/>
    <w:p w:rsidR="00BA1745" w:rsidRDefault="00BA1745" w:rsidP="00B21539"/>
    <w:p w:rsidR="00BA1745" w:rsidRDefault="00BA1745" w:rsidP="00B21539"/>
    <w:p w:rsidR="00BA1745" w:rsidRDefault="00BA1745" w:rsidP="00B21539"/>
    <w:p w:rsidR="00BA1745" w:rsidRDefault="00BA1745" w:rsidP="00B21539"/>
    <w:p w:rsidR="00BA1745" w:rsidRDefault="00BA1745" w:rsidP="00B21539"/>
    <w:p w:rsidR="00BA1745" w:rsidRDefault="00BA1745" w:rsidP="00B21539"/>
    <w:p w:rsidR="00BA1745" w:rsidRDefault="00BA1745" w:rsidP="00B21539">
      <w:r w:rsidRPr="00BA1745">
        <w:lastRenderedPageBreak/>
        <w:t>As development proceeds the intestinal loop turns further around its own axis. In stage 18 (ca. 44 days, 18) the extension of the intestinal loop into the umbilical coelom has reached its maximum. This physiologic navel hernia remains in existence up to the 9th week of pregnancy. (</w:t>
      </w:r>
      <w:proofErr w:type="spellStart"/>
      <w:r w:rsidRPr="00BA1745">
        <w:t>Omphalocele</w:t>
      </w:r>
      <w:proofErr w:type="spellEnd"/>
      <w:r w:rsidRPr="00BA1745">
        <w:t xml:space="preserve"> / umbilical hernia)</w:t>
      </w:r>
    </w:p>
    <w:p w:rsidR="00BA1745" w:rsidRDefault="00BA1745" w:rsidP="00B21539">
      <w:r>
        <w:rPr>
          <w:noProof/>
          <w:lang w:eastAsia="en-GB"/>
        </w:rPr>
        <w:drawing>
          <wp:inline distT="0" distB="0" distL="0" distR="0">
            <wp:extent cx="4410075" cy="3333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3b5_Darmdrehung18mit.gif"/>
                    <pic:cNvPicPr/>
                  </pic:nvPicPr>
                  <pic:blipFill>
                    <a:blip r:embed="rId8">
                      <a:extLst>
                        <a:ext uri="{28A0092B-C50C-407E-A947-70E740481C1C}">
                          <a14:useLocalDpi xmlns:a14="http://schemas.microsoft.com/office/drawing/2010/main" val="0"/>
                        </a:ext>
                      </a:extLst>
                    </a:blip>
                    <a:stretch>
                      <a:fillRect/>
                    </a:stretch>
                  </pic:blipFill>
                  <pic:spPr>
                    <a:xfrm>
                      <a:off x="0" y="0"/>
                      <a:ext cx="4410075" cy="3333750"/>
                    </a:xfrm>
                    <a:prstGeom prst="rect">
                      <a:avLst/>
                    </a:prstGeom>
                  </pic:spPr>
                </pic:pic>
              </a:graphicData>
            </a:graphic>
          </wp:inline>
        </w:drawing>
      </w:r>
    </w:p>
    <w:tbl>
      <w:tblPr>
        <w:tblW w:w="6975" w:type="dxa"/>
        <w:tblCellSpacing w:w="0" w:type="dxa"/>
        <w:shd w:val="clear" w:color="auto" w:fill="FFFFF0"/>
        <w:tblCellMar>
          <w:left w:w="0" w:type="dxa"/>
          <w:right w:w="0" w:type="dxa"/>
        </w:tblCellMar>
        <w:tblLook w:val="04A0" w:firstRow="1" w:lastRow="0" w:firstColumn="1" w:lastColumn="0" w:noHBand="0" w:noVBand="1"/>
      </w:tblPr>
      <w:tblGrid>
        <w:gridCol w:w="3375"/>
        <w:gridCol w:w="225"/>
        <w:gridCol w:w="3375"/>
      </w:tblGrid>
      <w:tr w:rsidR="0091637E" w:rsidRPr="0091637E" w:rsidTr="0091637E">
        <w:trPr>
          <w:tblCellSpacing w:w="0" w:type="dxa"/>
        </w:trPr>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91637E" w:rsidRPr="0091637E">
              <w:trPr>
                <w:tblCellSpacing w:w="0" w:type="dxa"/>
              </w:trPr>
              <w:tc>
                <w:tcPr>
                  <w:tcW w:w="300" w:type="dxa"/>
                  <w:hideMark/>
                </w:tcPr>
                <w:p w:rsidR="0091637E" w:rsidRPr="0091637E" w:rsidRDefault="0091637E" w:rsidP="0091637E">
                  <w:r w:rsidRPr="0091637E">
                    <w:rPr>
                      <w:b/>
                      <w:bCs/>
                    </w:rPr>
                    <w:t>1</w:t>
                  </w:r>
                  <w:r w:rsidRPr="0091637E">
                    <w:br/>
                  </w:r>
                  <w:r w:rsidRPr="0091637E">
                    <w:rPr>
                      <w:b/>
                      <w:bCs/>
                    </w:rPr>
                    <w:t>2</w:t>
                  </w:r>
                  <w:r w:rsidRPr="0091637E">
                    <w:rPr>
                      <w:b/>
                      <w:bCs/>
                    </w:rPr>
                    <w:br/>
                    <w:t>3</w:t>
                  </w:r>
                </w:p>
              </w:tc>
              <w:tc>
                <w:tcPr>
                  <w:tcW w:w="3075" w:type="dxa"/>
                  <w:hideMark/>
                </w:tcPr>
                <w:p w:rsidR="0091637E" w:rsidRPr="0091637E" w:rsidRDefault="0091637E" w:rsidP="0091637E">
                  <w:r w:rsidRPr="0091637E">
                    <w:t>Stomach</w:t>
                  </w:r>
                  <w:r w:rsidRPr="0091637E">
                    <w:br/>
                  </w:r>
                  <w:proofErr w:type="spellStart"/>
                  <w:r w:rsidRPr="0091637E">
                    <w:t>Mesenterium</w:t>
                  </w:r>
                  <w:proofErr w:type="spellEnd"/>
                  <w:r w:rsidRPr="0091637E">
                    <w:br/>
                    <w:t>Parietal peritoneum</w:t>
                  </w:r>
                </w:p>
              </w:tc>
            </w:tr>
          </w:tbl>
          <w:p w:rsidR="0091637E" w:rsidRPr="0091637E" w:rsidRDefault="0091637E" w:rsidP="0091637E"/>
        </w:tc>
        <w:tc>
          <w:tcPr>
            <w:tcW w:w="225" w:type="dxa"/>
            <w:shd w:val="clear" w:color="auto" w:fill="FFFFF0"/>
            <w:hideMark/>
          </w:tcPr>
          <w:p w:rsidR="0091637E" w:rsidRPr="0091637E" w:rsidRDefault="0091637E" w:rsidP="0091637E"/>
        </w:tc>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91637E" w:rsidRPr="0091637E">
              <w:trPr>
                <w:tblCellSpacing w:w="0" w:type="dxa"/>
              </w:trPr>
              <w:tc>
                <w:tcPr>
                  <w:tcW w:w="300" w:type="dxa"/>
                  <w:hideMark/>
                </w:tcPr>
                <w:p w:rsidR="0091637E" w:rsidRPr="0091637E" w:rsidRDefault="0091637E" w:rsidP="0091637E">
                  <w:r w:rsidRPr="0091637E">
                    <w:rPr>
                      <w:b/>
                      <w:bCs/>
                    </w:rPr>
                    <w:t>4</w:t>
                  </w:r>
                  <w:r w:rsidRPr="0091637E">
                    <w:rPr>
                      <w:b/>
                      <w:bCs/>
                    </w:rPr>
                    <w:br/>
                    <w:t>6</w:t>
                  </w:r>
                </w:p>
              </w:tc>
              <w:tc>
                <w:tcPr>
                  <w:tcW w:w="3075" w:type="dxa"/>
                  <w:hideMark/>
                </w:tcPr>
                <w:p w:rsidR="0091637E" w:rsidRPr="0091637E" w:rsidRDefault="0091637E" w:rsidP="0091637E">
                  <w:r w:rsidRPr="0091637E">
                    <w:t>Intestinal loop</w:t>
                  </w:r>
                  <w:r w:rsidRPr="0091637E">
                    <w:br/>
                    <w:t>Cecum</w:t>
                  </w:r>
                </w:p>
              </w:tc>
            </w:tr>
          </w:tbl>
          <w:p w:rsidR="0091637E" w:rsidRPr="0091637E" w:rsidRDefault="0091637E" w:rsidP="0091637E"/>
        </w:tc>
      </w:tr>
    </w:tbl>
    <w:p w:rsidR="00B21539" w:rsidRDefault="00BA1745" w:rsidP="00B21539">
      <w:r>
        <w:t xml:space="preserve">(in the figure above) </w:t>
      </w:r>
      <w:r w:rsidRPr="00BA1745">
        <w:t>The largest part of the intestinal loop lies in the umbilical coelom and several loops have formed through the lengthening in the cranial, small intestine region.</w:t>
      </w:r>
    </w:p>
    <w:p w:rsidR="00BA1745" w:rsidRDefault="00BA1745" w:rsidP="00B21539"/>
    <w:p w:rsidR="00BA1745" w:rsidRDefault="00BA1745" w:rsidP="00B21539"/>
    <w:p w:rsidR="00BA1745" w:rsidRDefault="00BA1745" w:rsidP="00B21539"/>
    <w:p w:rsidR="00BA1745" w:rsidRDefault="00BA1745" w:rsidP="00B21539"/>
    <w:p w:rsidR="00BA1745" w:rsidRDefault="00BA1745" w:rsidP="00B21539"/>
    <w:p w:rsidR="00BA1745" w:rsidRDefault="00BA1745" w:rsidP="00B21539"/>
    <w:p w:rsidR="00BA1745" w:rsidRDefault="00BA1745" w:rsidP="00B21539"/>
    <w:p w:rsidR="00BA1745" w:rsidRDefault="00BA1745" w:rsidP="00B21539"/>
    <w:p w:rsidR="00BA1745" w:rsidRDefault="00BA1745" w:rsidP="00B21539"/>
    <w:p w:rsidR="00BA1745" w:rsidRDefault="00BA1745" w:rsidP="00B21539">
      <w:r w:rsidRPr="00BA1745">
        <w:t xml:space="preserve">At first, the loops of the small intestine return into the abdominal cavity and come to lie in the left half surrounded by the horizontal and descending part of the colon that never left the abdominal cavity. The rotation now amounts to more than 180 degrees and the colon is also shifted more and more into the abdominal space. The repositioning of the physiologic umbilical hernia is facilitated by the righting of the embryo's </w:t>
      </w:r>
      <w:proofErr w:type="gramStart"/>
      <w:r w:rsidRPr="00BA1745">
        <w:t>body..</w:t>
      </w:r>
      <w:proofErr w:type="gramEnd"/>
    </w:p>
    <w:p w:rsidR="00BA1745" w:rsidRDefault="00BA1745" w:rsidP="00B21539">
      <w:r>
        <w:rPr>
          <w:noProof/>
          <w:lang w:eastAsia="en-GB"/>
        </w:rPr>
        <w:drawing>
          <wp:inline distT="0" distB="0" distL="0" distR="0">
            <wp:extent cx="4410075" cy="33337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3b7_Darmdrehung20.gif"/>
                    <pic:cNvPicPr/>
                  </pic:nvPicPr>
                  <pic:blipFill>
                    <a:blip r:embed="rId9">
                      <a:extLst>
                        <a:ext uri="{28A0092B-C50C-407E-A947-70E740481C1C}">
                          <a14:useLocalDpi xmlns:a14="http://schemas.microsoft.com/office/drawing/2010/main" val="0"/>
                        </a:ext>
                      </a:extLst>
                    </a:blip>
                    <a:stretch>
                      <a:fillRect/>
                    </a:stretch>
                  </pic:blipFill>
                  <pic:spPr>
                    <a:xfrm>
                      <a:off x="0" y="0"/>
                      <a:ext cx="4410075" cy="3333750"/>
                    </a:xfrm>
                    <a:prstGeom prst="rect">
                      <a:avLst/>
                    </a:prstGeom>
                  </pic:spPr>
                </pic:pic>
              </a:graphicData>
            </a:graphic>
          </wp:inline>
        </w:drawing>
      </w:r>
    </w:p>
    <w:tbl>
      <w:tblPr>
        <w:tblW w:w="6975" w:type="dxa"/>
        <w:tblCellSpacing w:w="0" w:type="dxa"/>
        <w:shd w:val="clear" w:color="auto" w:fill="FFFFF0"/>
        <w:tblCellMar>
          <w:left w:w="0" w:type="dxa"/>
          <w:right w:w="0" w:type="dxa"/>
        </w:tblCellMar>
        <w:tblLook w:val="04A0" w:firstRow="1" w:lastRow="0" w:firstColumn="1" w:lastColumn="0" w:noHBand="0" w:noVBand="1"/>
      </w:tblPr>
      <w:tblGrid>
        <w:gridCol w:w="3375"/>
        <w:gridCol w:w="225"/>
        <w:gridCol w:w="3375"/>
      </w:tblGrid>
      <w:tr w:rsidR="00BA1745" w:rsidRPr="00BA1745" w:rsidTr="00BA1745">
        <w:trPr>
          <w:tblCellSpacing w:w="0" w:type="dxa"/>
        </w:trPr>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BA1745" w:rsidRPr="00BA1745">
              <w:trPr>
                <w:tblCellSpacing w:w="0" w:type="dxa"/>
              </w:trPr>
              <w:tc>
                <w:tcPr>
                  <w:tcW w:w="300" w:type="dxa"/>
                  <w:hideMark/>
                </w:tcPr>
                <w:p w:rsidR="00BA1745" w:rsidRPr="00BA1745" w:rsidRDefault="00BA1745" w:rsidP="00BA1745">
                  <w:r w:rsidRPr="00BA1745">
                    <w:rPr>
                      <w:b/>
                      <w:bCs/>
                    </w:rPr>
                    <w:t>1</w:t>
                  </w:r>
                  <w:r w:rsidRPr="00BA1745">
                    <w:br/>
                  </w:r>
                  <w:r w:rsidRPr="00BA1745">
                    <w:rPr>
                      <w:b/>
                      <w:bCs/>
                    </w:rPr>
                    <w:t>2</w:t>
                  </w:r>
                  <w:r w:rsidRPr="00BA1745">
                    <w:rPr>
                      <w:b/>
                      <w:bCs/>
                    </w:rPr>
                    <w:br/>
                    <w:t>3</w:t>
                  </w:r>
                </w:p>
              </w:tc>
              <w:tc>
                <w:tcPr>
                  <w:tcW w:w="3075" w:type="dxa"/>
                  <w:hideMark/>
                </w:tcPr>
                <w:p w:rsidR="00BA1745" w:rsidRPr="00BA1745" w:rsidRDefault="00BA1745" w:rsidP="00BA1745">
                  <w:r w:rsidRPr="00BA1745">
                    <w:t>Stomach</w:t>
                  </w:r>
                  <w:r w:rsidRPr="00BA1745">
                    <w:br/>
                  </w:r>
                  <w:proofErr w:type="spellStart"/>
                  <w:r w:rsidRPr="00BA1745">
                    <w:t>Mesenterium</w:t>
                  </w:r>
                  <w:proofErr w:type="spellEnd"/>
                  <w:r w:rsidRPr="00BA1745">
                    <w:br/>
                    <w:t>Parietal peritoneum</w:t>
                  </w:r>
                </w:p>
              </w:tc>
            </w:tr>
          </w:tbl>
          <w:p w:rsidR="00BA1745" w:rsidRPr="00BA1745" w:rsidRDefault="00BA1745" w:rsidP="00BA1745"/>
        </w:tc>
        <w:tc>
          <w:tcPr>
            <w:tcW w:w="225" w:type="dxa"/>
            <w:shd w:val="clear" w:color="auto" w:fill="FFFFF0"/>
            <w:hideMark/>
          </w:tcPr>
          <w:p w:rsidR="00BA1745" w:rsidRPr="00BA1745" w:rsidRDefault="00BA1745" w:rsidP="00BA1745"/>
        </w:tc>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BA1745" w:rsidRPr="00BA1745">
              <w:trPr>
                <w:tblCellSpacing w:w="0" w:type="dxa"/>
              </w:trPr>
              <w:tc>
                <w:tcPr>
                  <w:tcW w:w="300" w:type="dxa"/>
                  <w:hideMark/>
                </w:tcPr>
                <w:p w:rsidR="00BA1745" w:rsidRPr="00BA1745" w:rsidRDefault="00BA1745" w:rsidP="00BA1745">
                  <w:r w:rsidRPr="00BA1745">
                    <w:rPr>
                      <w:b/>
                      <w:bCs/>
                    </w:rPr>
                    <w:t>4</w:t>
                  </w:r>
                  <w:r w:rsidRPr="00BA1745">
                    <w:rPr>
                      <w:b/>
                      <w:bCs/>
                    </w:rPr>
                    <w:br/>
                    <w:t>6</w:t>
                  </w:r>
                </w:p>
              </w:tc>
              <w:tc>
                <w:tcPr>
                  <w:tcW w:w="3075" w:type="dxa"/>
                  <w:hideMark/>
                </w:tcPr>
                <w:p w:rsidR="00BA1745" w:rsidRPr="00BA1745" w:rsidRDefault="00BA1745" w:rsidP="00BA1745">
                  <w:r w:rsidRPr="00BA1745">
                    <w:t>Intestinal loop</w:t>
                  </w:r>
                  <w:r w:rsidRPr="00BA1745">
                    <w:br/>
                    <w:t>Cecum</w:t>
                  </w:r>
                </w:p>
              </w:tc>
            </w:tr>
          </w:tbl>
          <w:p w:rsidR="00BA1745" w:rsidRPr="00BA1745" w:rsidRDefault="00BA1745" w:rsidP="00BA1745"/>
        </w:tc>
      </w:tr>
    </w:tbl>
    <w:p w:rsidR="00BA1745" w:rsidRDefault="00BA1745" w:rsidP="00B21539">
      <w:r>
        <w:t xml:space="preserve">(in the figure above) </w:t>
      </w:r>
      <w:r w:rsidRPr="00BA1745">
        <w:t>With the return of the intestines into the abdominal cavity the small intestine is moved to the left side and the cecum and the ascending part of the large intestine to the right. Initially the cecum may possibly be found in the upper right quadrant (elevated cecum).</w:t>
      </w:r>
    </w:p>
    <w:p w:rsidR="00B21539" w:rsidRDefault="00B21539" w:rsidP="00B21539"/>
    <w:p w:rsidR="00BA1745" w:rsidRDefault="00BA1745" w:rsidP="00B21539"/>
    <w:p w:rsidR="00BA1745" w:rsidRDefault="00BA1745" w:rsidP="00B21539"/>
    <w:p w:rsidR="00BA1745" w:rsidRDefault="00BA1745" w:rsidP="00B21539"/>
    <w:p w:rsidR="001457B5" w:rsidRDefault="001457B5" w:rsidP="00B21539"/>
    <w:p w:rsidR="00BA1745" w:rsidRDefault="00BA1745" w:rsidP="00B21539">
      <w:r w:rsidRPr="00BA1745">
        <w:lastRenderedPageBreak/>
        <w:t xml:space="preserve">Thus, after the reintegration of the intestinal loops into the abdominal cavity from the physiologic umbilical hernia, the derivatives of the originally caudal pedicle </w:t>
      </w:r>
      <w:proofErr w:type="gramStart"/>
      <w:r w:rsidRPr="00BA1745">
        <w:t>occupies</w:t>
      </w:r>
      <w:proofErr w:type="gramEnd"/>
      <w:r w:rsidRPr="00BA1745">
        <w:t xml:space="preserve"> the upper and ventral part of the abdominal cavity. At the end of the embryonic period this part migrates downwards into the iliac fossa, whereby an additional rotation occurs. The whole rotation of the intestines thus amounts to approximately 270 degrees. As a consequence, the </w:t>
      </w:r>
      <w:proofErr w:type="spellStart"/>
      <w:r w:rsidRPr="00BA1745">
        <w:t>mesenterium</w:t>
      </w:r>
      <w:proofErr w:type="spellEnd"/>
      <w:r w:rsidRPr="00BA1745">
        <w:t xml:space="preserve"> also turns with it and in its insertion it crosses over the inferior part of the duodenum. (</w:t>
      </w:r>
      <w:proofErr w:type="spellStart"/>
      <w:r w:rsidRPr="00BA1745">
        <w:t>Malrotation</w:t>
      </w:r>
      <w:proofErr w:type="spellEnd"/>
      <w:r w:rsidRPr="00BA1745">
        <w:t xml:space="preserve"> and congenital high cecum)</w:t>
      </w:r>
    </w:p>
    <w:p w:rsidR="00BA1745" w:rsidRDefault="00BA1745" w:rsidP="00B21539">
      <w:r>
        <w:rPr>
          <w:noProof/>
          <w:lang w:eastAsia="en-GB"/>
        </w:rPr>
        <w:drawing>
          <wp:inline distT="0" distB="0" distL="0" distR="0">
            <wp:extent cx="4410075" cy="3333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3b10_Darmdrehung23.gif"/>
                    <pic:cNvPicPr/>
                  </pic:nvPicPr>
                  <pic:blipFill>
                    <a:blip r:embed="rId10">
                      <a:extLst>
                        <a:ext uri="{28A0092B-C50C-407E-A947-70E740481C1C}">
                          <a14:useLocalDpi xmlns:a14="http://schemas.microsoft.com/office/drawing/2010/main" val="0"/>
                        </a:ext>
                      </a:extLst>
                    </a:blip>
                    <a:stretch>
                      <a:fillRect/>
                    </a:stretch>
                  </pic:blipFill>
                  <pic:spPr>
                    <a:xfrm>
                      <a:off x="0" y="0"/>
                      <a:ext cx="4410075" cy="3333750"/>
                    </a:xfrm>
                    <a:prstGeom prst="rect">
                      <a:avLst/>
                    </a:prstGeom>
                  </pic:spPr>
                </pic:pic>
              </a:graphicData>
            </a:graphic>
          </wp:inline>
        </w:drawing>
      </w:r>
    </w:p>
    <w:tbl>
      <w:tblPr>
        <w:tblW w:w="6975" w:type="dxa"/>
        <w:tblCellSpacing w:w="0" w:type="dxa"/>
        <w:shd w:val="clear" w:color="auto" w:fill="FFFFF0"/>
        <w:tblCellMar>
          <w:left w:w="0" w:type="dxa"/>
          <w:right w:w="0" w:type="dxa"/>
        </w:tblCellMar>
        <w:tblLook w:val="04A0" w:firstRow="1" w:lastRow="0" w:firstColumn="1" w:lastColumn="0" w:noHBand="0" w:noVBand="1"/>
      </w:tblPr>
      <w:tblGrid>
        <w:gridCol w:w="3375"/>
        <w:gridCol w:w="225"/>
        <w:gridCol w:w="3375"/>
      </w:tblGrid>
      <w:tr w:rsidR="00BA1745" w:rsidRPr="00BA1745" w:rsidTr="00BA1745">
        <w:trPr>
          <w:tblCellSpacing w:w="0" w:type="dxa"/>
        </w:trPr>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BA1745" w:rsidRPr="00BA1745">
              <w:trPr>
                <w:tblCellSpacing w:w="0" w:type="dxa"/>
              </w:trPr>
              <w:tc>
                <w:tcPr>
                  <w:tcW w:w="300" w:type="dxa"/>
                  <w:hideMark/>
                </w:tcPr>
                <w:p w:rsidR="00BA1745" w:rsidRPr="00BA1745" w:rsidRDefault="00BA1745" w:rsidP="00BA1745">
                  <w:r w:rsidRPr="00BA1745">
                    <w:rPr>
                      <w:b/>
                      <w:bCs/>
                    </w:rPr>
                    <w:t>1</w:t>
                  </w:r>
                  <w:r w:rsidRPr="00BA1745">
                    <w:br/>
                  </w:r>
                  <w:r w:rsidRPr="00BA1745">
                    <w:rPr>
                      <w:b/>
                      <w:bCs/>
                    </w:rPr>
                    <w:t>2</w:t>
                  </w:r>
                  <w:r w:rsidRPr="00BA1745">
                    <w:rPr>
                      <w:b/>
                      <w:bCs/>
                    </w:rPr>
                    <w:br/>
                    <w:t>3</w:t>
                  </w:r>
                </w:p>
              </w:tc>
              <w:tc>
                <w:tcPr>
                  <w:tcW w:w="3075" w:type="dxa"/>
                  <w:hideMark/>
                </w:tcPr>
                <w:p w:rsidR="00BA1745" w:rsidRPr="00BA1745" w:rsidRDefault="00BA1745" w:rsidP="00BA1745">
                  <w:r w:rsidRPr="00BA1745">
                    <w:t>Stomach</w:t>
                  </w:r>
                  <w:r w:rsidRPr="00BA1745">
                    <w:br/>
                  </w:r>
                  <w:proofErr w:type="spellStart"/>
                  <w:r w:rsidRPr="00BA1745">
                    <w:t>Mesenterium</w:t>
                  </w:r>
                  <w:proofErr w:type="spellEnd"/>
                  <w:r w:rsidRPr="00BA1745">
                    <w:br/>
                    <w:t>Parietal peritoneum</w:t>
                  </w:r>
                </w:p>
              </w:tc>
            </w:tr>
          </w:tbl>
          <w:p w:rsidR="00BA1745" w:rsidRPr="00BA1745" w:rsidRDefault="00BA1745" w:rsidP="00BA1745"/>
        </w:tc>
        <w:tc>
          <w:tcPr>
            <w:tcW w:w="225" w:type="dxa"/>
            <w:shd w:val="clear" w:color="auto" w:fill="FFFFF0"/>
            <w:hideMark/>
          </w:tcPr>
          <w:p w:rsidR="00BA1745" w:rsidRPr="00BA1745" w:rsidRDefault="00BA1745" w:rsidP="00BA1745"/>
        </w:tc>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BA1745" w:rsidRPr="00BA1745">
              <w:trPr>
                <w:tblCellSpacing w:w="0" w:type="dxa"/>
              </w:trPr>
              <w:tc>
                <w:tcPr>
                  <w:tcW w:w="300" w:type="dxa"/>
                  <w:hideMark/>
                </w:tcPr>
                <w:p w:rsidR="00BA1745" w:rsidRPr="00BA1745" w:rsidRDefault="00BA1745" w:rsidP="00BA1745">
                  <w:r w:rsidRPr="00BA1745">
                    <w:rPr>
                      <w:b/>
                      <w:bCs/>
                    </w:rPr>
                    <w:t>4</w:t>
                  </w:r>
                  <w:r w:rsidRPr="00BA1745">
                    <w:rPr>
                      <w:b/>
                      <w:bCs/>
                    </w:rPr>
                    <w:br/>
                    <w:t>6</w:t>
                  </w:r>
                </w:p>
              </w:tc>
              <w:tc>
                <w:tcPr>
                  <w:tcW w:w="3075" w:type="dxa"/>
                  <w:hideMark/>
                </w:tcPr>
                <w:p w:rsidR="00BA1745" w:rsidRPr="00BA1745" w:rsidRDefault="00BA1745" w:rsidP="00BA1745">
                  <w:r w:rsidRPr="00BA1745">
                    <w:t>Intestinal loop</w:t>
                  </w:r>
                  <w:r w:rsidRPr="00BA1745">
                    <w:br/>
                    <w:t>Cecum</w:t>
                  </w:r>
                </w:p>
              </w:tc>
            </w:tr>
          </w:tbl>
          <w:p w:rsidR="00BA1745" w:rsidRPr="00BA1745" w:rsidRDefault="00BA1745" w:rsidP="00BA1745"/>
        </w:tc>
      </w:tr>
    </w:tbl>
    <w:p w:rsidR="00B21539" w:rsidRDefault="00BA1745" w:rsidP="00B21539">
      <w:r>
        <w:t xml:space="preserve">(in the figure above) </w:t>
      </w:r>
      <w:r w:rsidRPr="00BA1745">
        <w:t xml:space="preserve">As a rule the cecum grows caudally and comes to lie in the right iliac fossa. Through rotation of the whole small intestine of more than 270 degrees the </w:t>
      </w:r>
      <w:proofErr w:type="spellStart"/>
      <w:r w:rsidRPr="00BA1745">
        <w:t>mesenterium</w:t>
      </w:r>
      <w:proofErr w:type="spellEnd"/>
      <w:r w:rsidRPr="00BA1745">
        <w:t xml:space="preserve"> also rotates thereby and moves off from the posterior wall over the inferior part of the duodenum to the small intestine.</w:t>
      </w:r>
    </w:p>
    <w:p w:rsidR="00B21539" w:rsidRDefault="00B21539" w:rsidP="00B21539"/>
    <w:p w:rsidR="00B21539" w:rsidRDefault="00B21539" w:rsidP="00B21539"/>
    <w:p w:rsidR="00B21539" w:rsidRDefault="00B21539" w:rsidP="00B21539"/>
    <w:p w:rsidR="00B21539" w:rsidRDefault="00B21539" w:rsidP="00B21539"/>
    <w:p w:rsidR="001457B5" w:rsidRDefault="001457B5" w:rsidP="00B21539">
      <w:pPr>
        <w:rPr>
          <w:b/>
        </w:rPr>
      </w:pPr>
    </w:p>
    <w:p w:rsidR="0034027F" w:rsidRPr="00B21539" w:rsidRDefault="00B21539" w:rsidP="00B21539">
      <w:pPr>
        <w:rPr>
          <w:b/>
        </w:rPr>
      </w:pPr>
      <w:bookmarkStart w:id="0" w:name="_GoBack"/>
      <w:bookmarkEnd w:id="0"/>
      <w:r>
        <w:rPr>
          <w:b/>
        </w:rPr>
        <w:lastRenderedPageBreak/>
        <w:t>SUMMARY</w:t>
      </w:r>
    </w:p>
    <w:p w:rsidR="0034027F" w:rsidRPr="0034027F" w:rsidRDefault="0034027F" w:rsidP="0034027F">
      <w:pPr>
        <w:numPr>
          <w:ilvl w:val="0"/>
          <w:numId w:val="3"/>
        </w:numPr>
        <w:spacing w:after="0" w:line="240" w:lineRule="auto"/>
        <w:rPr>
          <w:rFonts w:eastAsia="Times New Roman"/>
          <w:lang w:eastAsia="en-GB"/>
        </w:rPr>
      </w:pPr>
      <w:r w:rsidRPr="0034027F">
        <w:rPr>
          <w:rFonts w:eastAsia="Times New Roman"/>
          <w:lang w:eastAsia="en-GB"/>
        </w:rPr>
        <w:t xml:space="preserve">Stage I occurs between 5-10 weeks' gestation. It is the period of physiologic herniation of the bowel into the base of the umbilical cord. The </w:t>
      </w:r>
      <w:proofErr w:type="spellStart"/>
      <w:r w:rsidRPr="0034027F">
        <w:rPr>
          <w:rFonts w:eastAsia="Times New Roman"/>
          <w:lang w:eastAsia="en-GB"/>
        </w:rPr>
        <w:t>duodenojejunal</w:t>
      </w:r>
      <w:proofErr w:type="spellEnd"/>
      <w:r w:rsidRPr="0034027F">
        <w:rPr>
          <w:rFonts w:eastAsia="Times New Roman"/>
          <w:lang w:eastAsia="en-GB"/>
        </w:rPr>
        <w:t xml:space="preserve"> loop begins superior to the SMA at a 90° position and rotates 180° in a </w:t>
      </w:r>
      <w:proofErr w:type="spellStart"/>
      <w:r w:rsidRPr="0034027F">
        <w:rPr>
          <w:rFonts w:eastAsia="Times New Roman"/>
          <w:lang w:eastAsia="en-GB"/>
        </w:rPr>
        <w:t>counterclockwise</w:t>
      </w:r>
      <w:proofErr w:type="spellEnd"/>
      <w:r w:rsidRPr="0034027F">
        <w:rPr>
          <w:rFonts w:eastAsia="Times New Roman"/>
          <w:lang w:eastAsia="en-GB"/>
        </w:rPr>
        <w:t xml:space="preserve"> direction. At 180°, the loop is to the anatomical right of the SMA, and by 270°, it is beneath the SMA. The </w:t>
      </w:r>
      <w:proofErr w:type="spellStart"/>
      <w:r w:rsidRPr="0034027F">
        <w:rPr>
          <w:rFonts w:eastAsia="Times New Roman"/>
          <w:lang w:eastAsia="en-GB"/>
        </w:rPr>
        <w:t>cecocolic</w:t>
      </w:r>
      <w:proofErr w:type="spellEnd"/>
      <w:r w:rsidRPr="0034027F">
        <w:rPr>
          <w:rFonts w:eastAsia="Times New Roman"/>
          <w:lang w:eastAsia="en-GB"/>
        </w:rPr>
        <w:t xml:space="preserve"> loop begins beneath the SMA at 270°. It rotates 90° in a </w:t>
      </w:r>
      <w:proofErr w:type="spellStart"/>
      <w:r w:rsidRPr="0034027F">
        <w:rPr>
          <w:rFonts w:eastAsia="Times New Roman"/>
          <w:lang w:eastAsia="en-GB"/>
        </w:rPr>
        <w:t>counterclockwise</w:t>
      </w:r>
      <w:proofErr w:type="spellEnd"/>
      <w:r w:rsidRPr="0034027F">
        <w:rPr>
          <w:rFonts w:eastAsia="Times New Roman"/>
          <w:lang w:eastAsia="en-GB"/>
        </w:rPr>
        <w:t xml:space="preserve"> manner and ends at the anatomical left of the SMA at a 0° position. Both loops maintain these positions until the bowel returns to the abdominal cavity. Also during this period, the </w:t>
      </w:r>
      <w:proofErr w:type="spellStart"/>
      <w:r w:rsidRPr="0034027F">
        <w:rPr>
          <w:rFonts w:eastAsia="Times New Roman"/>
          <w:lang w:eastAsia="en-GB"/>
        </w:rPr>
        <w:t>midgut</w:t>
      </w:r>
      <w:proofErr w:type="spellEnd"/>
      <w:r w:rsidRPr="0034027F">
        <w:rPr>
          <w:rFonts w:eastAsia="Times New Roman"/>
          <w:lang w:eastAsia="en-GB"/>
        </w:rPr>
        <w:t xml:space="preserve"> lengthens along the SMA, and, as rotation continues, a broad pedicle is formed at the base of the mesentery. This broad base protects against </w:t>
      </w:r>
      <w:proofErr w:type="spellStart"/>
      <w:r w:rsidRPr="0034027F">
        <w:rPr>
          <w:rFonts w:eastAsia="Times New Roman"/>
          <w:lang w:eastAsia="en-GB"/>
        </w:rPr>
        <w:t>midgut</w:t>
      </w:r>
      <w:proofErr w:type="spellEnd"/>
      <w:r w:rsidRPr="0034027F">
        <w:rPr>
          <w:rFonts w:eastAsia="Times New Roman"/>
          <w:lang w:eastAsia="en-GB"/>
        </w:rPr>
        <w:t xml:space="preserve"> volvulus.</w:t>
      </w:r>
    </w:p>
    <w:p w:rsidR="0034027F" w:rsidRPr="0034027F" w:rsidRDefault="0034027F" w:rsidP="0034027F">
      <w:pPr>
        <w:numPr>
          <w:ilvl w:val="0"/>
          <w:numId w:val="3"/>
        </w:numPr>
        <w:spacing w:after="0" w:line="240" w:lineRule="auto"/>
        <w:rPr>
          <w:rFonts w:eastAsia="Times New Roman"/>
          <w:lang w:eastAsia="en-GB"/>
        </w:rPr>
      </w:pPr>
      <w:r w:rsidRPr="0034027F">
        <w:rPr>
          <w:rFonts w:eastAsia="Times New Roman"/>
          <w:lang w:eastAsia="en-GB"/>
        </w:rPr>
        <w:t xml:space="preserve">Stage II occurs at 10 weeks' gestation, the period when the bowel returns to the abdominal cavity. As it </w:t>
      </w:r>
      <w:proofErr w:type="gramStart"/>
      <w:r w:rsidRPr="0034027F">
        <w:rPr>
          <w:rFonts w:eastAsia="Times New Roman"/>
          <w:lang w:eastAsia="en-GB"/>
        </w:rPr>
        <w:t>return</w:t>
      </w:r>
      <w:proofErr w:type="gramEnd"/>
      <w:r w:rsidRPr="0034027F">
        <w:rPr>
          <w:rFonts w:eastAsia="Times New Roman"/>
          <w:lang w:eastAsia="en-GB"/>
        </w:rPr>
        <w:t xml:space="preserve"> s, the </w:t>
      </w:r>
      <w:proofErr w:type="spellStart"/>
      <w:r w:rsidRPr="0034027F">
        <w:rPr>
          <w:rFonts w:eastAsia="Times New Roman"/>
          <w:lang w:eastAsia="en-GB"/>
        </w:rPr>
        <w:t>duodenojejunal</w:t>
      </w:r>
      <w:proofErr w:type="spellEnd"/>
      <w:r w:rsidRPr="0034027F">
        <w:rPr>
          <w:rFonts w:eastAsia="Times New Roman"/>
          <w:lang w:eastAsia="en-GB"/>
        </w:rPr>
        <w:t xml:space="preserve"> loop rotates an additional 90° to end at the anatomical left of the SMA, the 0° position. The </w:t>
      </w:r>
      <w:proofErr w:type="spellStart"/>
      <w:r w:rsidRPr="0034027F">
        <w:rPr>
          <w:rFonts w:eastAsia="Times New Roman"/>
          <w:lang w:eastAsia="en-GB"/>
        </w:rPr>
        <w:t>cecocolic</w:t>
      </w:r>
      <w:proofErr w:type="spellEnd"/>
      <w:r w:rsidRPr="0034027F">
        <w:rPr>
          <w:rFonts w:eastAsia="Times New Roman"/>
          <w:lang w:eastAsia="en-GB"/>
        </w:rPr>
        <w:t xml:space="preserve"> loop turns 180° more as it </w:t>
      </w:r>
      <w:proofErr w:type="spellStart"/>
      <w:r w:rsidRPr="0034027F">
        <w:rPr>
          <w:rFonts w:eastAsia="Times New Roman"/>
          <w:lang w:eastAsia="en-GB"/>
        </w:rPr>
        <w:t>reenters</w:t>
      </w:r>
      <w:proofErr w:type="spellEnd"/>
      <w:r w:rsidRPr="0034027F">
        <w:rPr>
          <w:rFonts w:eastAsia="Times New Roman"/>
          <w:lang w:eastAsia="en-GB"/>
        </w:rPr>
        <w:t xml:space="preserve"> the abdominal cavity. This turn places it to the anatomical right of the SMA, a 180° position.</w:t>
      </w:r>
    </w:p>
    <w:p w:rsidR="00607D73" w:rsidRDefault="0034027F" w:rsidP="0091637E">
      <w:pPr>
        <w:numPr>
          <w:ilvl w:val="0"/>
          <w:numId w:val="3"/>
        </w:numPr>
        <w:spacing w:after="0" w:line="240" w:lineRule="auto"/>
        <w:rPr>
          <w:rFonts w:eastAsia="Times New Roman"/>
          <w:lang w:eastAsia="en-GB"/>
        </w:rPr>
      </w:pPr>
      <w:r w:rsidRPr="0034027F">
        <w:rPr>
          <w:rFonts w:eastAsia="Times New Roman"/>
          <w:lang w:eastAsia="en-GB"/>
        </w:rPr>
        <w:t>Stage III lasts from 11 weeks' gestation until term. It involves the descent of the cecum to the right lower quadrant and fixation of the mesenteries.</w:t>
      </w:r>
    </w:p>
    <w:p w:rsidR="0091637E" w:rsidRDefault="0091637E" w:rsidP="0091637E">
      <w:pPr>
        <w:spacing w:after="0" w:line="240" w:lineRule="auto"/>
        <w:ind w:left="720"/>
        <w:rPr>
          <w:rFonts w:eastAsia="Times New Roman"/>
          <w:lang w:eastAsia="en-GB"/>
        </w:rPr>
      </w:pPr>
    </w:p>
    <w:p w:rsidR="0091637E" w:rsidRDefault="0091637E" w:rsidP="0091637E">
      <w:pPr>
        <w:spacing w:after="0" w:line="240" w:lineRule="auto"/>
        <w:ind w:left="720"/>
        <w:rPr>
          <w:rFonts w:eastAsia="Times New Roman"/>
          <w:b/>
          <w:lang w:eastAsia="en-GB"/>
        </w:rPr>
      </w:pPr>
      <w:r>
        <w:rPr>
          <w:rFonts w:eastAsia="Times New Roman"/>
          <w:b/>
          <w:lang w:eastAsia="en-GB"/>
        </w:rPr>
        <w:t>COMPLICATIONS THAT OCCUR DURING ROTATION OF THE STOMACH</w:t>
      </w:r>
    </w:p>
    <w:p w:rsidR="0091637E" w:rsidRPr="0091637E" w:rsidRDefault="0091637E" w:rsidP="0091637E">
      <w:pPr>
        <w:spacing w:after="0" w:line="240" w:lineRule="auto"/>
        <w:ind w:left="720"/>
        <w:rPr>
          <w:rFonts w:eastAsia="Times New Roman"/>
          <w:lang w:eastAsia="en-GB"/>
        </w:rPr>
      </w:pPr>
      <w:proofErr w:type="spellStart"/>
      <w:r w:rsidRPr="0091637E">
        <w:rPr>
          <w:rFonts w:eastAsia="Times New Roman"/>
          <w:lang w:eastAsia="en-GB"/>
        </w:rPr>
        <w:t>Nonrotation</w:t>
      </w:r>
      <w:proofErr w:type="spellEnd"/>
      <w:r w:rsidRPr="0091637E">
        <w:rPr>
          <w:rFonts w:eastAsia="Times New Roman"/>
          <w:lang w:eastAsia="en-GB"/>
        </w:rPr>
        <w:t>:</w:t>
      </w:r>
    </w:p>
    <w:p w:rsidR="0091637E" w:rsidRPr="0091637E" w:rsidRDefault="0091637E" w:rsidP="0091637E">
      <w:pPr>
        <w:numPr>
          <w:ilvl w:val="0"/>
          <w:numId w:val="5"/>
        </w:numPr>
        <w:spacing w:after="0" w:line="240" w:lineRule="auto"/>
        <w:rPr>
          <w:rFonts w:eastAsia="Times New Roman"/>
          <w:lang w:eastAsia="en-GB"/>
        </w:rPr>
      </w:pPr>
      <w:r w:rsidRPr="0091637E">
        <w:rPr>
          <w:rFonts w:eastAsia="Times New Roman"/>
          <w:lang w:eastAsia="en-GB"/>
        </w:rPr>
        <w:t xml:space="preserve">Arrest in development at stage I results in </w:t>
      </w:r>
      <w:proofErr w:type="spellStart"/>
      <w:r w:rsidRPr="0091637E">
        <w:rPr>
          <w:rFonts w:eastAsia="Times New Roman"/>
          <w:lang w:eastAsia="en-GB"/>
        </w:rPr>
        <w:t>nonrotation</w:t>
      </w:r>
      <w:proofErr w:type="spellEnd"/>
      <w:r w:rsidRPr="0091637E">
        <w:rPr>
          <w:rFonts w:eastAsia="Times New Roman"/>
          <w:lang w:eastAsia="en-GB"/>
        </w:rPr>
        <w:t xml:space="preserve">. Subsequently, the </w:t>
      </w:r>
      <w:proofErr w:type="spellStart"/>
      <w:r w:rsidRPr="0091637E">
        <w:rPr>
          <w:rFonts w:eastAsia="Times New Roman"/>
          <w:lang w:eastAsia="en-GB"/>
        </w:rPr>
        <w:t>duodenojejunal</w:t>
      </w:r>
      <w:proofErr w:type="spellEnd"/>
      <w:r w:rsidRPr="0091637E">
        <w:rPr>
          <w:rFonts w:eastAsia="Times New Roman"/>
          <w:lang w:eastAsia="en-GB"/>
        </w:rPr>
        <w:t xml:space="preserve"> junction does not lie inferior and to the left of the SMA, and the cecum does not lie in the right lower quadrant. The mesentery in turn forms a narrow base as the gut lengthens on the SMA without rotation, and this narrow base is prone to clockwise twisting leading to </w:t>
      </w:r>
      <w:proofErr w:type="spellStart"/>
      <w:r w:rsidRPr="0091637E">
        <w:rPr>
          <w:rFonts w:eastAsia="Times New Roman"/>
          <w:lang w:eastAsia="en-GB"/>
        </w:rPr>
        <w:t>midgut</w:t>
      </w:r>
      <w:proofErr w:type="spellEnd"/>
      <w:r w:rsidRPr="0091637E">
        <w:rPr>
          <w:rFonts w:eastAsia="Times New Roman"/>
          <w:lang w:eastAsia="en-GB"/>
        </w:rPr>
        <w:t xml:space="preserve"> volvulus. The width of the base of the mesentery is different in each patient, and not every patient with </w:t>
      </w:r>
      <w:proofErr w:type="spellStart"/>
      <w:r w:rsidRPr="0091637E">
        <w:rPr>
          <w:rFonts w:eastAsia="Times New Roman"/>
          <w:lang w:eastAsia="en-GB"/>
        </w:rPr>
        <w:t>nonrotation</w:t>
      </w:r>
      <w:proofErr w:type="spellEnd"/>
      <w:r w:rsidRPr="0091637E">
        <w:rPr>
          <w:rFonts w:eastAsia="Times New Roman"/>
          <w:lang w:eastAsia="en-GB"/>
        </w:rPr>
        <w:t xml:space="preserve"> develops </w:t>
      </w:r>
      <w:proofErr w:type="spellStart"/>
      <w:r w:rsidRPr="0091637E">
        <w:rPr>
          <w:rFonts w:eastAsia="Times New Roman"/>
          <w:lang w:eastAsia="en-GB"/>
        </w:rPr>
        <w:t>midgut</w:t>
      </w:r>
      <w:proofErr w:type="spellEnd"/>
      <w:r w:rsidRPr="0091637E">
        <w:rPr>
          <w:rFonts w:eastAsia="Times New Roman"/>
          <w:lang w:eastAsia="en-GB"/>
        </w:rPr>
        <w:t xml:space="preserve"> volvulus.</w:t>
      </w:r>
    </w:p>
    <w:p w:rsidR="0091637E" w:rsidRPr="0091637E" w:rsidRDefault="0091637E" w:rsidP="0091637E">
      <w:pPr>
        <w:spacing w:after="0" w:line="240" w:lineRule="auto"/>
        <w:ind w:left="720"/>
        <w:rPr>
          <w:rFonts w:eastAsia="Times New Roman"/>
          <w:lang w:eastAsia="en-GB"/>
        </w:rPr>
      </w:pPr>
      <w:r w:rsidRPr="0091637E">
        <w:rPr>
          <w:rFonts w:eastAsia="Times New Roman"/>
          <w:lang w:eastAsia="en-GB"/>
        </w:rPr>
        <w:t>Incomplete rotation:</w:t>
      </w:r>
    </w:p>
    <w:p w:rsidR="0091637E" w:rsidRPr="0091637E" w:rsidRDefault="0091637E" w:rsidP="0091637E">
      <w:pPr>
        <w:numPr>
          <w:ilvl w:val="0"/>
          <w:numId w:val="6"/>
        </w:numPr>
        <w:spacing w:after="0" w:line="240" w:lineRule="auto"/>
        <w:rPr>
          <w:rFonts w:eastAsia="Times New Roman"/>
          <w:lang w:eastAsia="en-GB"/>
        </w:rPr>
      </w:pPr>
      <w:r w:rsidRPr="0091637E">
        <w:rPr>
          <w:rFonts w:eastAsia="Times New Roman"/>
          <w:lang w:eastAsia="en-GB"/>
        </w:rPr>
        <w:t xml:space="preserve">Stage II arrest results in incomplete rotation and is most likely to result in duodenal obstruction. Typically, peritoneal bands running from the misplaced cecum to the mesentery compress the third portion of the duodenum. Depending on how much rotation was completed prior to arrest, the mesenteric base may be narrow and, again, </w:t>
      </w:r>
      <w:proofErr w:type="spellStart"/>
      <w:r w:rsidRPr="0091637E">
        <w:rPr>
          <w:rFonts w:eastAsia="Times New Roman"/>
          <w:lang w:eastAsia="en-GB"/>
        </w:rPr>
        <w:t>midgut</w:t>
      </w:r>
      <w:proofErr w:type="spellEnd"/>
      <w:r w:rsidRPr="0091637E">
        <w:rPr>
          <w:rFonts w:eastAsia="Times New Roman"/>
          <w:lang w:eastAsia="en-GB"/>
        </w:rPr>
        <w:t xml:space="preserve"> volvulus can occur. Internal </w:t>
      </w:r>
      <w:proofErr w:type="spellStart"/>
      <w:r w:rsidRPr="0091637E">
        <w:rPr>
          <w:rFonts w:eastAsia="Times New Roman"/>
          <w:lang w:eastAsia="en-GB"/>
        </w:rPr>
        <w:t>herniations</w:t>
      </w:r>
      <w:proofErr w:type="spellEnd"/>
      <w:r w:rsidRPr="0091637E">
        <w:rPr>
          <w:rFonts w:eastAsia="Times New Roman"/>
          <w:lang w:eastAsia="en-GB"/>
        </w:rPr>
        <w:t xml:space="preserve"> may also occur with incomplete rotation if the </w:t>
      </w:r>
      <w:proofErr w:type="spellStart"/>
      <w:r w:rsidRPr="0091637E">
        <w:rPr>
          <w:rFonts w:eastAsia="Times New Roman"/>
          <w:lang w:eastAsia="en-GB"/>
        </w:rPr>
        <w:t>duodenojejunal</w:t>
      </w:r>
      <w:proofErr w:type="spellEnd"/>
      <w:r w:rsidRPr="0091637E">
        <w:rPr>
          <w:rFonts w:eastAsia="Times New Roman"/>
          <w:lang w:eastAsia="en-GB"/>
        </w:rPr>
        <w:t xml:space="preserve"> loop does not rotate but the </w:t>
      </w:r>
      <w:proofErr w:type="spellStart"/>
      <w:r w:rsidRPr="0091637E">
        <w:rPr>
          <w:rFonts w:eastAsia="Times New Roman"/>
          <w:lang w:eastAsia="en-GB"/>
        </w:rPr>
        <w:t>cecocolic</w:t>
      </w:r>
      <w:proofErr w:type="spellEnd"/>
      <w:r w:rsidRPr="0091637E">
        <w:rPr>
          <w:rFonts w:eastAsia="Times New Roman"/>
          <w:lang w:eastAsia="en-GB"/>
        </w:rPr>
        <w:t xml:space="preserve"> loop does rotate. This may trap most of the small bowel in the mesentery of the large bowel, creating a right </w:t>
      </w:r>
      <w:proofErr w:type="spellStart"/>
      <w:r w:rsidRPr="0091637E">
        <w:rPr>
          <w:rFonts w:eastAsia="Times New Roman"/>
          <w:lang w:eastAsia="en-GB"/>
        </w:rPr>
        <w:t>mesocolic</w:t>
      </w:r>
      <w:proofErr w:type="spellEnd"/>
      <w:r w:rsidRPr="0091637E">
        <w:rPr>
          <w:rFonts w:eastAsia="Times New Roman"/>
          <w:lang w:eastAsia="en-GB"/>
        </w:rPr>
        <w:t xml:space="preserve"> (</w:t>
      </w:r>
      <w:proofErr w:type="spellStart"/>
      <w:r w:rsidRPr="0091637E">
        <w:rPr>
          <w:rFonts w:eastAsia="Times New Roman"/>
          <w:lang w:eastAsia="en-GB"/>
        </w:rPr>
        <w:t>paraduodenal</w:t>
      </w:r>
      <w:proofErr w:type="spellEnd"/>
      <w:r w:rsidRPr="0091637E">
        <w:rPr>
          <w:rFonts w:eastAsia="Times New Roman"/>
          <w:lang w:eastAsia="en-GB"/>
        </w:rPr>
        <w:t>) hernia.</w:t>
      </w:r>
    </w:p>
    <w:p w:rsidR="0091637E" w:rsidRPr="0091637E" w:rsidRDefault="0091637E" w:rsidP="0091637E">
      <w:pPr>
        <w:spacing w:after="0" w:line="240" w:lineRule="auto"/>
        <w:ind w:left="720"/>
        <w:rPr>
          <w:rFonts w:eastAsia="Times New Roman"/>
          <w:lang w:eastAsia="en-GB"/>
        </w:rPr>
      </w:pPr>
      <w:r w:rsidRPr="0091637E">
        <w:rPr>
          <w:rFonts w:eastAsia="Times New Roman"/>
          <w:lang w:eastAsia="en-GB"/>
        </w:rPr>
        <w:t>Incomplete fixation:</w:t>
      </w:r>
    </w:p>
    <w:p w:rsidR="0091637E" w:rsidRPr="0091637E" w:rsidRDefault="0091637E" w:rsidP="0091637E">
      <w:pPr>
        <w:numPr>
          <w:ilvl w:val="0"/>
          <w:numId w:val="7"/>
        </w:numPr>
        <w:spacing w:after="0" w:line="240" w:lineRule="auto"/>
        <w:rPr>
          <w:rFonts w:eastAsia="Times New Roman"/>
          <w:lang w:eastAsia="en-GB"/>
        </w:rPr>
      </w:pPr>
      <w:r w:rsidRPr="0091637E">
        <w:rPr>
          <w:rFonts w:eastAsia="Times New Roman"/>
          <w:lang w:eastAsia="en-GB"/>
        </w:rPr>
        <w:lastRenderedPageBreak/>
        <w:t xml:space="preserve">Potential hernia pouches form when the mesentery of the right and left colon and the duodenum do not become fixed to the </w:t>
      </w:r>
      <w:proofErr w:type="spellStart"/>
      <w:r w:rsidRPr="0091637E">
        <w:rPr>
          <w:rFonts w:eastAsia="Times New Roman"/>
          <w:lang w:eastAsia="en-GB"/>
        </w:rPr>
        <w:t>retroperitoneum</w:t>
      </w:r>
      <w:proofErr w:type="spellEnd"/>
      <w:r w:rsidRPr="0091637E">
        <w:rPr>
          <w:rFonts w:eastAsia="Times New Roman"/>
          <w:lang w:eastAsia="en-GB"/>
        </w:rPr>
        <w:t xml:space="preserve">. If the descending </w:t>
      </w:r>
      <w:proofErr w:type="spellStart"/>
      <w:r w:rsidRPr="0091637E">
        <w:rPr>
          <w:rFonts w:eastAsia="Times New Roman"/>
          <w:lang w:eastAsia="en-GB"/>
        </w:rPr>
        <w:t>mesocolon</w:t>
      </w:r>
      <w:proofErr w:type="spellEnd"/>
      <w:r w:rsidRPr="0091637E">
        <w:rPr>
          <w:rFonts w:eastAsia="Times New Roman"/>
          <w:lang w:eastAsia="en-GB"/>
        </w:rPr>
        <w:t xml:space="preserve"> between the inferior mesenteric vein and the posterior parietal attachment remains unfixed, the small intestine may push out through the unsupported area as it migrates to the left upper quadrant. This creates a left </w:t>
      </w:r>
      <w:proofErr w:type="spellStart"/>
      <w:r w:rsidRPr="0091637E">
        <w:rPr>
          <w:rFonts w:eastAsia="Times New Roman"/>
          <w:lang w:eastAsia="en-GB"/>
        </w:rPr>
        <w:t>mesocolic</w:t>
      </w:r>
      <w:proofErr w:type="spellEnd"/>
      <w:r w:rsidRPr="0091637E">
        <w:rPr>
          <w:rFonts w:eastAsia="Times New Roman"/>
          <w:lang w:eastAsia="en-GB"/>
        </w:rPr>
        <w:t xml:space="preserve"> hernia with possible entrapment and strangulation of the bowel. If the cecum remains unfixed, volvulus of the terminal ileum, cecum, and proximal ascending colon may occur.</w:t>
      </w:r>
    </w:p>
    <w:p w:rsidR="0091637E" w:rsidRPr="0091637E" w:rsidRDefault="0091637E" w:rsidP="0091637E">
      <w:pPr>
        <w:spacing w:after="0" w:line="240" w:lineRule="auto"/>
        <w:ind w:left="720"/>
        <w:rPr>
          <w:rFonts w:eastAsia="Times New Roman"/>
          <w:lang w:eastAsia="en-GB"/>
        </w:rPr>
      </w:pPr>
    </w:p>
    <w:p w:rsidR="00607D73" w:rsidRPr="00607D73" w:rsidRDefault="00607D73" w:rsidP="00607D73"/>
    <w:sectPr w:rsidR="00607D73" w:rsidRPr="00607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587"/>
    <w:multiLevelType w:val="multilevel"/>
    <w:tmpl w:val="1BFAA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515BA"/>
    <w:multiLevelType w:val="hybridMultilevel"/>
    <w:tmpl w:val="5CB27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6C6713"/>
    <w:multiLevelType w:val="multilevel"/>
    <w:tmpl w:val="213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52830"/>
    <w:multiLevelType w:val="multilevel"/>
    <w:tmpl w:val="00CA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50EB1"/>
    <w:multiLevelType w:val="multilevel"/>
    <w:tmpl w:val="9AE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46C99"/>
    <w:multiLevelType w:val="hybridMultilevel"/>
    <w:tmpl w:val="0554E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89100C"/>
    <w:multiLevelType w:val="multilevel"/>
    <w:tmpl w:val="A19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73"/>
    <w:rsid w:val="001457B5"/>
    <w:rsid w:val="0034027F"/>
    <w:rsid w:val="00607D73"/>
    <w:rsid w:val="0091637E"/>
    <w:rsid w:val="00B21539"/>
    <w:rsid w:val="00BA1745"/>
    <w:rsid w:val="00C74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855A"/>
  <w15:chartTrackingRefBased/>
  <w15:docId w15:val="{7AEBCAA3-E28F-46AF-97F8-5E232382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A2A2A"/>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D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D73"/>
    <w:pPr>
      <w:ind w:left="720"/>
      <w:contextualSpacing/>
    </w:pPr>
  </w:style>
  <w:style w:type="character" w:styleId="HTMLSample">
    <w:name w:val="HTML Sample"/>
    <w:basedOn w:val="DefaultParagraphFont"/>
    <w:uiPriority w:val="99"/>
    <w:semiHidden/>
    <w:unhideWhenUsed/>
    <w:rsid w:val="0091637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010">
      <w:bodyDiv w:val="1"/>
      <w:marLeft w:val="0"/>
      <w:marRight w:val="0"/>
      <w:marTop w:val="0"/>
      <w:marBottom w:val="0"/>
      <w:divBdr>
        <w:top w:val="none" w:sz="0" w:space="0" w:color="auto"/>
        <w:left w:val="none" w:sz="0" w:space="0" w:color="auto"/>
        <w:bottom w:val="none" w:sz="0" w:space="0" w:color="auto"/>
        <w:right w:val="none" w:sz="0" w:space="0" w:color="auto"/>
      </w:divBdr>
      <w:divsChild>
        <w:div w:id="569969320">
          <w:marLeft w:val="0"/>
          <w:marRight w:val="0"/>
          <w:marTop w:val="0"/>
          <w:marBottom w:val="0"/>
          <w:divBdr>
            <w:top w:val="none" w:sz="0" w:space="0" w:color="auto"/>
            <w:left w:val="none" w:sz="0" w:space="0" w:color="auto"/>
            <w:bottom w:val="none" w:sz="0" w:space="0" w:color="auto"/>
            <w:right w:val="none" w:sz="0" w:space="0" w:color="auto"/>
          </w:divBdr>
        </w:div>
        <w:div w:id="1709332043">
          <w:marLeft w:val="0"/>
          <w:marRight w:val="0"/>
          <w:marTop w:val="0"/>
          <w:marBottom w:val="0"/>
          <w:divBdr>
            <w:top w:val="none" w:sz="0" w:space="0" w:color="auto"/>
            <w:left w:val="none" w:sz="0" w:space="0" w:color="auto"/>
            <w:bottom w:val="none" w:sz="0" w:space="0" w:color="auto"/>
            <w:right w:val="none" w:sz="0" w:space="0" w:color="auto"/>
          </w:divBdr>
        </w:div>
        <w:div w:id="179046621">
          <w:marLeft w:val="0"/>
          <w:marRight w:val="0"/>
          <w:marTop w:val="0"/>
          <w:marBottom w:val="0"/>
          <w:divBdr>
            <w:top w:val="none" w:sz="0" w:space="0" w:color="auto"/>
            <w:left w:val="none" w:sz="0" w:space="0" w:color="auto"/>
            <w:bottom w:val="none" w:sz="0" w:space="0" w:color="auto"/>
            <w:right w:val="none" w:sz="0" w:space="0" w:color="auto"/>
          </w:divBdr>
        </w:div>
      </w:divsChild>
    </w:div>
    <w:div w:id="443616498">
      <w:bodyDiv w:val="1"/>
      <w:marLeft w:val="0"/>
      <w:marRight w:val="0"/>
      <w:marTop w:val="0"/>
      <w:marBottom w:val="0"/>
      <w:divBdr>
        <w:top w:val="none" w:sz="0" w:space="0" w:color="auto"/>
        <w:left w:val="none" w:sz="0" w:space="0" w:color="auto"/>
        <w:bottom w:val="none" w:sz="0" w:space="0" w:color="auto"/>
        <w:right w:val="none" w:sz="0" w:space="0" w:color="auto"/>
      </w:divBdr>
      <w:divsChild>
        <w:div w:id="529690215">
          <w:marLeft w:val="0"/>
          <w:marRight w:val="0"/>
          <w:marTop w:val="0"/>
          <w:marBottom w:val="0"/>
          <w:divBdr>
            <w:top w:val="none" w:sz="0" w:space="0" w:color="auto"/>
            <w:left w:val="none" w:sz="0" w:space="0" w:color="auto"/>
            <w:bottom w:val="none" w:sz="0" w:space="0" w:color="auto"/>
            <w:right w:val="none" w:sz="0" w:space="0" w:color="auto"/>
          </w:divBdr>
        </w:div>
      </w:divsChild>
    </w:div>
    <w:div w:id="449587661">
      <w:bodyDiv w:val="1"/>
      <w:marLeft w:val="0"/>
      <w:marRight w:val="0"/>
      <w:marTop w:val="0"/>
      <w:marBottom w:val="0"/>
      <w:divBdr>
        <w:top w:val="none" w:sz="0" w:space="0" w:color="auto"/>
        <w:left w:val="none" w:sz="0" w:space="0" w:color="auto"/>
        <w:bottom w:val="none" w:sz="0" w:space="0" w:color="auto"/>
        <w:right w:val="none" w:sz="0" w:space="0" w:color="auto"/>
      </w:divBdr>
    </w:div>
    <w:div w:id="604963925">
      <w:bodyDiv w:val="1"/>
      <w:marLeft w:val="0"/>
      <w:marRight w:val="0"/>
      <w:marTop w:val="0"/>
      <w:marBottom w:val="0"/>
      <w:divBdr>
        <w:top w:val="none" w:sz="0" w:space="0" w:color="auto"/>
        <w:left w:val="none" w:sz="0" w:space="0" w:color="auto"/>
        <w:bottom w:val="none" w:sz="0" w:space="0" w:color="auto"/>
        <w:right w:val="none" w:sz="0" w:space="0" w:color="auto"/>
      </w:divBdr>
    </w:div>
    <w:div w:id="833225086">
      <w:bodyDiv w:val="1"/>
      <w:marLeft w:val="0"/>
      <w:marRight w:val="0"/>
      <w:marTop w:val="0"/>
      <w:marBottom w:val="0"/>
      <w:divBdr>
        <w:top w:val="none" w:sz="0" w:space="0" w:color="auto"/>
        <w:left w:val="none" w:sz="0" w:space="0" w:color="auto"/>
        <w:bottom w:val="none" w:sz="0" w:space="0" w:color="auto"/>
        <w:right w:val="none" w:sz="0" w:space="0" w:color="auto"/>
      </w:divBdr>
    </w:div>
    <w:div w:id="900479418">
      <w:bodyDiv w:val="1"/>
      <w:marLeft w:val="0"/>
      <w:marRight w:val="0"/>
      <w:marTop w:val="0"/>
      <w:marBottom w:val="0"/>
      <w:divBdr>
        <w:top w:val="none" w:sz="0" w:space="0" w:color="auto"/>
        <w:left w:val="none" w:sz="0" w:space="0" w:color="auto"/>
        <w:bottom w:val="none" w:sz="0" w:space="0" w:color="auto"/>
        <w:right w:val="none" w:sz="0" w:space="0" w:color="auto"/>
      </w:divBdr>
    </w:div>
    <w:div w:id="1098671136">
      <w:bodyDiv w:val="1"/>
      <w:marLeft w:val="0"/>
      <w:marRight w:val="0"/>
      <w:marTop w:val="0"/>
      <w:marBottom w:val="0"/>
      <w:divBdr>
        <w:top w:val="none" w:sz="0" w:space="0" w:color="auto"/>
        <w:left w:val="none" w:sz="0" w:space="0" w:color="auto"/>
        <w:bottom w:val="none" w:sz="0" w:space="0" w:color="auto"/>
        <w:right w:val="none" w:sz="0" w:space="0" w:color="auto"/>
      </w:divBdr>
      <w:divsChild>
        <w:div w:id="1743288782">
          <w:marLeft w:val="0"/>
          <w:marRight w:val="0"/>
          <w:marTop w:val="0"/>
          <w:marBottom w:val="0"/>
          <w:divBdr>
            <w:top w:val="none" w:sz="0" w:space="0" w:color="auto"/>
            <w:left w:val="none" w:sz="0" w:space="0" w:color="auto"/>
            <w:bottom w:val="none" w:sz="0" w:space="0" w:color="auto"/>
            <w:right w:val="none" w:sz="0" w:space="0" w:color="auto"/>
          </w:divBdr>
        </w:div>
        <w:div w:id="2074232409">
          <w:marLeft w:val="0"/>
          <w:marRight w:val="0"/>
          <w:marTop w:val="0"/>
          <w:marBottom w:val="0"/>
          <w:divBdr>
            <w:top w:val="none" w:sz="0" w:space="0" w:color="auto"/>
            <w:left w:val="none" w:sz="0" w:space="0" w:color="auto"/>
            <w:bottom w:val="none" w:sz="0" w:space="0" w:color="auto"/>
            <w:right w:val="none" w:sz="0" w:space="0" w:color="auto"/>
          </w:divBdr>
        </w:div>
        <w:div w:id="1462454979">
          <w:marLeft w:val="0"/>
          <w:marRight w:val="0"/>
          <w:marTop w:val="0"/>
          <w:marBottom w:val="0"/>
          <w:divBdr>
            <w:top w:val="none" w:sz="0" w:space="0" w:color="auto"/>
            <w:left w:val="none" w:sz="0" w:space="0" w:color="auto"/>
            <w:bottom w:val="none" w:sz="0" w:space="0" w:color="auto"/>
            <w:right w:val="none" w:sz="0" w:space="0" w:color="auto"/>
          </w:divBdr>
        </w:div>
      </w:divsChild>
    </w:div>
    <w:div w:id="1106578110">
      <w:bodyDiv w:val="1"/>
      <w:marLeft w:val="0"/>
      <w:marRight w:val="0"/>
      <w:marTop w:val="0"/>
      <w:marBottom w:val="0"/>
      <w:divBdr>
        <w:top w:val="none" w:sz="0" w:space="0" w:color="auto"/>
        <w:left w:val="none" w:sz="0" w:space="0" w:color="auto"/>
        <w:bottom w:val="none" w:sz="0" w:space="0" w:color="auto"/>
        <w:right w:val="none" w:sz="0" w:space="0" w:color="auto"/>
      </w:divBdr>
      <w:divsChild>
        <w:div w:id="666136570">
          <w:marLeft w:val="0"/>
          <w:marRight w:val="0"/>
          <w:marTop w:val="0"/>
          <w:marBottom w:val="0"/>
          <w:divBdr>
            <w:top w:val="none" w:sz="0" w:space="0" w:color="auto"/>
            <w:left w:val="none" w:sz="0" w:space="0" w:color="auto"/>
            <w:bottom w:val="none" w:sz="0" w:space="0" w:color="auto"/>
            <w:right w:val="none" w:sz="0" w:space="0" w:color="auto"/>
          </w:divBdr>
        </w:div>
        <w:div w:id="135070524">
          <w:marLeft w:val="0"/>
          <w:marRight w:val="0"/>
          <w:marTop w:val="0"/>
          <w:marBottom w:val="0"/>
          <w:divBdr>
            <w:top w:val="none" w:sz="0" w:space="0" w:color="auto"/>
            <w:left w:val="none" w:sz="0" w:space="0" w:color="auto"/>
            <w:bottom w:val="none" w:sz="0" w:space="0" w:color="auto"/>
            <w:right w:val="none" w:sz="0" w:space="0" w:color="auto"/>
          </w:divBdr>
        </w:div>
        <w:div w:id="1541894824">
          <w:marLeft w:val="0"/>
          <w:marRight w:val="0"/>
          <w:marTop w:val="0"/>
          <w:marBottom w:val="0"/>
          <w:divBdr>
            <w:top w:val="none" w:sz="0" w:space="0" w:color="auto"/>
            <w:left w:val="none" w:sz="0" w:space="0" w:color="auto"/>
            <w:bottom w:val="none" w:sz="0" w:space="0" w:color="auto"/>
            <w:right w:val="none" w:sz="0" w:space="0" w:color="auto"/>
          </w:divBdr>
        </w:div>
      </w:divsChild>
    </w:div>
    <w:div w:id="1113280087">
      <w:bodyDiv w:val="1"/>
      <w:marLeft w:val="0"/>
      <w:marRight w:val="0"/>
      <w:marTop w:val="0"/>
      <w:marBottom w:val="0"/>
      <w:divBdr>
        <w:top w:val="none" w:sz="0" w:space="0" w:color="auto"/>
        <w:left w:val="none" w:sz="0" w:space="0" w:color="auto"/>
        <w:bottom w:val="none" w:sz="0" w:space="0" w:color="auto"/>
        <w:right w:val="none" w:sz="0" w:space="0" w:color="auto"/>
      </w:divBdr>
      <w:divsChild>
        <w:div w:id="1088622945">
          <w:marLeft w:val="0"/>
          <w:marRight w:val="0"/>
          <w:marTop w:val="0"/>
          <w:marBottom w:val="0"/>
          <w:divBdr>
            <w:top w:val="none" w:sz="0" w:space="0" w:color="auto"/>
            <w:left w:val="none" w:sz="0" w:space="0" w:color="auto"/>
            <w:bottom w:val="none" w:sz="0" w:space="0" w:color="auto"/>
            <w:right w:val="none" w:sz="0" w:space="0" w:color="auto"/>
          </w:divBdr>
        </w:div>
      </w:divsChild>
    </w:div>
    <w:div w:id="1184590554">
      <w:bodyDiv w:val="1"/>
      <w:marLeft w:val="0"/>
      <w:marRight w:val="0"/>
      <w:marTop w:val="0"/>
      <w:marBottom w:val="0"/>
      <w:divBdr>
        <w:top w:val="none" w:sz="0" w:space="0" w:color="auto"/>
        <w:left w:val="none" w:sz="0" w:space="0" w:color="auto"/>
        <w:bottom w:val="none" w:sz="0" w:space="0" w:color="auto"/>
        <w:right w:val="none" w:sz="0" w:space="0" w:color="auto"/>
      </w:divBdr>
    </w:div>
    <w:div w:id="1250309937">
      <w:bodyDiv w:val="1"/>
      <w:marLeft w:val="0"/>
      <w:marRight w:val="0"/>
      <w:marTop w:val="0"/>
      <w:marBottom w:val="0"/>
      <w:divBdr>
        <w:top w:val="none" w:sz="0" w:space="0" w:color="auto"/>
        <w:left w:val="none" w:sz="0" w:space="0" w:color="auto"/>
        <w:bottom w:val="none" w:sz="0" w:space="0" w:color="auto"/>
        <w:right w:val="none" w:sz="0" w:space="0" w:color="auto"/>
      </w:divBdr>
    </w:div>
    <w:div w:id="1500151474">
      <w:bodyDiv w:val="1"/>
      <w:marLeft w:val="0"/>
      <w:marRight w:val="0"/>
      <w:marTop w:val="0"/>
      <w:marBottom w:val="0"/>
      <w:divBdr>
        <w:top w:val="none" w:sz="0" w:space="0" w:color="auto"/>
        <w:left w:val="none" w:sz="0" w:space="0" w:color="auto"/>
        <w:bottom w:val="none" w:sz="0" w:space="0" w:color="auto"/>
        <w:right w:val="none" w:sz="0" w:space="0" w:color="auto"/>
      </w:divBdr>
    </w:div>
    <w:div w:id="1551576073">
      <w:bodyDiv w:val="1"/>
      <w:marLeft w:val="0"/>
      <w:marRight w:val="0"/>
      <w:marTop w:val="0"/>
      <w:marBottom w:val="0"/>
      <w:divBdr>
        <w:top w:val="none" w:sz="0" w:space="0" w:color="auto"/>
        <w:left w:val="none" w:sz="0" w:space="0" w:color="auto"/>
        <w:bottom w:val="none" w:sz="0" w:space="0" w:color="auto"/>
        <w:right w:val="none" w:sz="0" w:space="0" w:color="auto"/>
      </w:divBdr>
    </w:div>
    <w:div w:id="1625115237">
      <w:bodyDiv w:val="1"/>
      <w:marLeft w:val="0"/>
      <w:marRight w:val="0"/>
      <w:marTop w:val="0"/>
      <w:marBottom w:val="0"/>
      <w:divBdr>
        <w:top w:val="none" w:sz="0" w:space="0" w:color="auto"/>
        <w:left w:val="none" w:sz="0" w:space="0" w:color="auto"/>
        <w:bottom w:val="none" w:sz="0" w:space="0" w:color="auto"/>
        <w:right w:val="none" w:sz="0" w:space="0" w:color="auto"/>
      </w:divBdr>
    </w:div>
    <w:div w:id="1657606451">
      <w:bodyDiv w:val="1"/>
      <w:marLeft w:val="0"/>
      <w:marRight w:val="0"/>
      <w:marTop w:val="0"/>
      <w:marBottom w:val="0"/>
      <w:divBdr>
        <w:top w:val="none" w:sz="0" w:space="0" w:color="auto"/>
        <w:left w:val="none" w:sz="0" w:space="0" w:color="auto"/>
        <w:bottom w:val="none" w:sz="0" w:space="0" w:color="auto"/>
        <w:right w:val="none" w:sz="0" w:space="0" w:color="auto"/>
      </w:divBdr>
      <w:divsChild>
        <w:div w:id="341276842">
          <w:marLeft w:val="0"/>
          <w:marRight w:val="0"/>
          <w:marTop w:val="0"/>
          <w:marBottom w:val="0"/>
          <w:divBdr>
            <w:top w:val="none" w:sz="0" w:space="0" w:color="auto"/>
            <w:left w:val="none" w:sz="0" w:space="0" w:color="auto"/>
            <w:bottom w:val="none" w:sz="0" w:space="0" w:color="auto"/>
            <w:right w:val="none" w:sz="0" w:space="0" w:color="auto"/>
          </w:divBdr>
        </w:div>
        <w:div w:id="415244462">
          <w:marLeft w:val="0"/>
          <w:marRight w:val="0"/>
          <w:marTop w:val="0"/>
          <w:marBottom w:val="0"/>
          <w:divBdr>
            <w:top w:val="none" w:sz="0" w:space="0" w:color="auto"/>
            <w:left w:val="none" w:sz="0" w:space="0" w:color="auto"/>
            <w:bottom w:val="none" w:sz="0" w:space="0" w:color="auto"/>
            <w:right w:val="none" w:sz="0" w:space="0" w:color="auto"/>
          </w:divBdr>
        </w:div>
        <w:div w:id="134107074">
          <w:marLeft w:val="0"/>
          <w:marRight w:val="0"/>
          <w:marTop w:val="0"/>
          <w:marBottom w:val="0"/>
          <w:divBdr>
            <w:top w:val="none" w:sz="0" w:space="0" w:color="auto"/>
            <w:left w:val="none" w:sz="0" w:space="0" w:color="auto"/>
            <w:bottom w:val="none" w:sz="0" w:space="0" w:color="auto"/>
            <w:right w:val="none" w:sz="0" w:space="0" w:color="auto"/>
          </w:divBdr>
        </w:div>
      </w:divsChild>
    </w:div>
    <w:div w:id="1671643060">
      <w:bodyDiv w:val="1"/>
      <w:marLeft w:val="0"/>
      <w:marRight w:val="0"/>
      <w:marTop w:val="0"/>
      <w:marBottom w:val="0"/>
      <w:divBdr>
        <w:top w:val="none" w:sz="0" w:space="0" w:color="auto"/>
        <w:left w:val="none" w:sz="0" w:space="0" w:color="auto"/>
        <w:bottom w:val="none" w:sz="0" w:space="0" w:color="auto"/>
        <w:right w:val="none" w:sz="0" w:space="0" w:color="auto"/>
      </w:divBdr>
    </w:div>
    <w:div w:id="1674602147">
      <w:bodyDiv w:val="1"/>
      <w:marLeft w:val="0"/>
      <w:marRight w:val="0"/>
      <w:marTop w:val="0"/>
      <w:marBottom w:val="0"/>
      <w:divBdr>
        <w:top w:val="none" w:sz="0" w:space="0" w:color="auto"/>
        <w:left w:val="none" w:sz="0" w:space="0" w:color="auto"/>
        <w:bottom w:val="none" w:sz="0" w:space="0" w:color="auto"/>
        <w:right w:val="none" w:sz="0" w:space="0" w:color="auto"/>
      </w:divBdr>
    </w:div>
    <w:div w:id="1722442581">
      <w:bodyDiv w:val="1"/>
      <w:marLeft w:val="0"/>
      <w:marRight w:val="0"/>
      <w:marTop w:val="0"/>
      <w:marBottom w:val="0"/>
      <w:divBdr>
        <w:top w:val="none" w:sz="0" w:space="0" w:color="auto"/>
        <w:left w:val="none" w:sz="0" w:space="0" w:color="auto"/>
        <w:bottom w:val="none" w:sz="0" w:space="0" w:color="auto"/>
        <w:right w:val="none" w:sz="0" w:space="0" w:color="auto"/>
      </w:divBdr>
    </w:div>
    <w:div w:id="1765222198">
      <w:bodyDiv w:val="1"/>
      <w:marLeft w:val="0"/>
      <w:marRight w:val="0"/>
      <w:marTop w:val="0"/>
      <w:marBottom w:val="0"/>
      <w:divBdr>
        <w:top w:val="none" w:sz="0" w:space="0" w:color="auto"/>
        <w:left w:val="none" w:sz="0" w:space="0" w:color="auto"/>
        <w:bottom w:val="none" w:sz="0" w:space="0" w:color="auto"/>
        <w:right w:val="none" w:sz="0" w:space="0" w:color="auto"/>
      </w:divBdr>
    </w:div>
    <w:div w:id="1882551506">
      <w:bodyDiv w:val="1"/>
      <w:marLeft w:val="0"/>
      <w:marRight w:val="0"/>
      <w:marTop w:val="0"/>
      <w:marBottom w:val="0"/>
      <w:divBdr>
        <w:top w:val="none" w:sz="0" w:space="0" w:color="auto"/>
        <w:left w:val="none" w:sz="0" w:space="0" w:color="auto"/>
        <w:bottom w:val="none" w:sz="0" w:space="0" w:color="auto"/>
        <w:right w:val="none" w:sz="0" w:space="0" w:color="auto"/>
      </w:divBdr>
      <w:divsChild>
        <w:div w:id="1778061957">
          <w:marLeft w:val="0"/>
          <w:marRight w:val="0"/>
          <w:marTop w:val="0"/>
          <w:marBottom w:val="0"/>
          <w:divBdr>
            <w:top w:val="none" w:sz="0" w:space="0" w:color="auto"/>
            <w:left w:val="none" w:sz="0" w:space="0" w:color="auto"/>
            <w:bottom w:val="none" w:sz="0" w:space="0" w:color="auto"/>
            <w:right w:val="none" w:sz="0" w:space="0" w:color="auto"/>
          </w:divBdr>
        </w:div>
        <w:div w:id="1415466816">
          <w:marLeft w:val="0"/>
          <w:marRight w:val="0"/>
          <w:marTop w:val="0"/>
          <w:marBottom w:val="0"/>
          <w:divBdr>
            <w:top w:val="none" w:sz="0" w:space="0" w:color="auto"/>
            <w:left w:val="none" w:sz="0" w:space="0" w:color="auto"/>
            <w:bottom w:val="none" w:sz="0" w:space="0" w:color="auto"/>
            <w:right w:val="none" w:sz="0" w:space="0" w:color="auto"/>
          </w:divBdr>
        </w:div>
        <w:div w:id="1463812993">
          <w:marLeft w:val="0"/>
          <w:marRight w:val="0"/>
          <w:marTop w:val="0"/>
          <w:marBottom w:val="0"/>
          <w:divBdr>
            <w:top w:val="none" w:sz="0" w:space="0" w:color="auto"/>
            <w:left w:val="none" w:sz="0" w:space="0" w:color="auto"/>
            <w:bottom w:val="none" w:sz="0" w:space="0" w:color="auto"/>
            <w:right w:val="none" w:sz="0" w:space="0" w:color="auto"/>
          </w:divBdr>
        </w:div>
      </w:divsChild>
    </w:div>
    <w:div w:id="1904218650">
      <w:bodyDiv w:val="1"/>
      <w:marLeft w:val="0"/>
      <w:marRight w:val="0"/>
      <w:marTop w:val="0"/>
      <w:marBottom w:val="0"/>
      <w:divBdr>
        <w:top w:val="none" w:sz="0" w:space="0" w:color="auto"/>
        <w:left w:val="none" w:sz="0" w:space="0" w:color="auto"/>
        <w:bottom w:val="none" w:sz="0" w:space="0" w:color="auto"/>
        <w:right w:val="none" w:sz="0" w:space="0" w:color="auto"/>
      </w:divBdr>
    </w:div>
    <w:div w:id="2000382977">
      <w:bodyDiv w:val="1"/>
      <w:marLeft w:val="0"/>
      <w:marRight w:val="0"/>
      <w:marTop w:val="0"/>
      <w:marBottom w:val="0"/>
      <w:divBdr>
        <w:top w:val="none" w:sz="0" w:space="0" w:color="auto"/>
        <w:left w:val="none" w:sz="0" w:space="0" w:color="auto"/>
        <w:bottom w:val="none" w:sz="0" w:space="0" w:color="auto"/>
        <w:right w:val="none" w:sz="0" w:space="0" w:color="auto"/>
      </w:divBdr>
      <w:divsChild>
        <w:div w:id="529418498">
          <w:marLeft w:val="0"/>
          <w:marRight w:val="0"/>
          <w:marTop w:val="0"/>
          <w:marBottom w:val="0"/>
          <w:divBdr>
            <w:top w:val="none" w:sz="0" w:space="0" w:color="auto"/>
            <w:left w:val="none" w:sz="0" w:space="0" w:color="auto"/>
            <w:bottom w:val="none" w:sz="0" w:space="0" w:color="auto"/>
            <w:right w:val="none" w:sz="0" w:space="0" w:color="auto"/>
          </w:divBdr>
        </w:div>
      </w:divsChild>
    </w:div>
    <w:div w:id="20113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Ovu</dc:creator>
  <cp:keywords/>
  <dc:description/>
  <cp:lastModifiedBy>Kwame Ovu</cp:lastModifiedBy>
  <cp:revision>2</cp:revision>
  <dcterms:created xsi:type="dcterms:W3CDTF">2020-05-14T13:19:00Z</dcterms:created>
  <dcterms:modified xsi:type="dcterms:W3CDTF">2020-05-14T14:22:00Z</dcterms:modified>
</cp:coreProperties>
</file>