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40"/>
          <w:szCs w:val="40"/>
          <w:rFonts w:ascii="Calibri" w:eastAsia="宋体" w:hAnsi="宋体" w:hint="default"/>
        </w:rPr>
      </w:pPr>
      <w:r>
        <w:rPr>
          <w:position w:val="0"/>
          <w:sz w:val="40"/>
          <w:szCs w:val="40"/>
          <w:rFonts w:ascii="Calibri" w:eastAsia="宋体" w:hAnsi="宋体" w:hint="default"/>
        </w:rPr>
        <w:t xml:space="preserve">NAME: ADEKUNLE USMAN.O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40"/>
          <w:szCs w:val="40"/>
          <w:rFonts w:ascii="Calibri" w:eastAsia="宋体" w:hAnsi="宋体" w:hint="default"/>
        </w:rPr>
      </w:pPr>
      <w:r>
        <w:rPr>
          <w:position w:val="0"/>
          <w:sz w:val="40"/>
          <w:szCs w:val="40"/>
          <w:rFonts w:ascii="Calibri" w:eastAsia="宋体" w:hAnsi="宋体" w:hint="default"/>
        </w:rPr>
        <w:t xml:space="preserve">MATRIC NO.: 18/MHS01/017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Calibri" w:eastAsia="宋体" w:hAnsi="宋体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44"/>
          <w:szCs w:val="44"/>
          <w:rFonts w:ascii="Times New Roman" w:eastAsia="Times New Roman" w:hAnsi="Times New Roman" w:hint="default"/>
        </w:rPr>
      </w:pPr>
      <w:r>
        <w:rPr>
          <w:position w:val="0"/>
          <w:sz w:val="20"/>
          <w:szCs w:val="20"/>
          <w:rFonts w:ascii="Calibri" w:eastAsia="宋体" w:hAnsi="宋体" w:hint="default"/>
        </w:rPr>
        <w:t xml:space="preserve">           </w:t>
      </w:r>
      <w:r>
        <w:rPr>
          <w:position w:val="0"/>
          <w:sz w:val="44"/>
          <w:szCs w:val="44"/>
          <w:rFonts w:ascii="Times New Roman" w:eastAsia="Times New Roman" w:hAnsi="Times New Roman" w:hint="default"/>
        </w:rPr>
        <w:t xml:space="preserve">SECOND WEEK OF DEVELOPMENT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44"/>
          <w:szCs w:val="4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44"/>
          <w:szCs w:val="44"/>
          <w:rFonts w:ascii="Times New Roman" w:eastAsia="Times New Roman" w:hAnsi="Times New Roman" w:hint="default"/>
        </w:rPr>
      </w:pPr>
      <w:r>
        <w:rPr>
          <w:position w:val="0"/>
          <w:sz w:val="44"/>
          <w:szCs w:val="44"/>
          <w:rFonts w:ascii="Times New Roman" w:eastAsia="Times New Roman" w:hAnsi="Times New Roman" w:hint="default"/>
        </w:rPr>
        <w:t xml:space="preserve">DAY 8;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44"/>
          <w:szCs w:val="44"/>
          <w:rFonts w:ascii="Times New Roman" w:eastAsia="Times New Roman" w:hAnsi="Times New Roman" w:hint="default"/>
        </w:rPr>
      </w:pPr>
      <w:r>
        <w:rPr>
          <w:position w:val="0"/>
          <w:sz w:val="44"/>
          <w:szCs w:val="44"/>
          <w:rFonts w:ascii="Times New Roman" w:eastAsia="Times New Roman" w:hAnsi="Times New Roman" w:hint="default"/>
        </w:rPr>
        <w:t>;</w:t>
      </w:r>
      <w:r>
        <w:rPr>
          <w:sz w:val="20"/>
        </w:rPr>
        <w:drawing>
          <wp:inline distT="0" distB="0" distL="0" distR="0">
            <wp:extent cx="4980305" cy="243395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10519324551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243459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At day 8 of development, the blastocyst is partially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embedded in the endometrial stroma. In the area over the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embryoblast, the trophoblast has differentiated into two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>layers:</w:t>
      </w:r>
    </w:p>
    <w:p>
      <w:pPr>
        <w:numPr>
          <w:ilvl w:val="0"/>
          <w:numId w:val="1"/>
        </w:numPr>
        <w:jc w:val="left"/>
        <w:spacing w:lineRule="auto" w:line="240" w:before="0" w:after="0"/>
        <w:ind w:left="-1" w:right="0" w:firstLine="0"/>
        <w:tabs>
          <w:tab w:val="left" w:pos="312"/>
          <w:tab w:val="left" w:pos="312"/>
          <w:tab w:val="left" w:pos="312"/>
          <w:tab w:val="left" w:pos="312"/>
        </w:tabs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Cytotrophoblast:an inner layer of mononucleated cells</w:t>
      </w:r>
    </w:p>
    <w:p>
      <w:pPr>
        <w:numPr>
          <w:ilvl w:val="0"/>
          <w:numId w:val="1"/>
        </w:numPr>
        <w:jc w:val="left"/>
        <w:spacing w:lineRule="auto" w:line="240" w:before="0" w:after="0"/>
        <w:ind w:left="-1" w:right="0" w:firstLine="0"/>
        <w:tabs>
          <w:tab w:val="left" w:pos="312"/>
          <w:tab w:val="left" w:pos="312"/>
          <w:tab w:val="left" w:pos="312"/>
          <w:tab w:val="left" w:pos="312"/>
        </w:tabs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Syncytiotrophoblast:an outer multinucleated zone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without distinct cell boundaries.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20"/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Mitotic figures are found in the cytotrophoblast but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not in the syncytiotrophoblast. Thus cells in the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cytotrophoblast divide and migrate into the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syncytiotrophoblast where they fuse and lose their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individual cell membranes.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20"/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Cells of embroyoblast also differentiate into two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>layers;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20"/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(i)Hypoblast: a layer of small cuboidal cells adjacent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to the blastocyst cavity.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20"/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(ii)Epiblast: a layer of high columnar cells adjacent to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the amniotic cavity.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20"/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Together the layers form a flat disc. At the same time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a small cavity appears within the epiblast which enlarge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to fom amniotic cavity and the epiblast cells adjacent to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the cytotrophoblast are called amnioblast and line the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amniotic cavity together with the rest of epiblast.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20"/>
        <w:rPr>
          <w:position w:val="0"/>
          <w:sz w:val="44"/>
          <w:szCs w:val="44"/>
          <w:rFonts w:ascii="Times New Roman" w:eastAsia="Times New Roman" w:hAnsi="Times New Roman" w:hint="default"/>
        </w:rPr>
      </w:pPr>
      <w:r>
        <w:rPr>
          <w:position w:val="0"/>
          <w:sz w:val="44"/>
          <w:szCs w:val="44"/>
          <w:rFonts w:ascii="Times New Roman" w:eastAsia="Times New Roman" w:hAnsi="Times New Roman" w:hint="default"/>
        </w:rPr>
        <w:t xml:space="preserve">DAY 9;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20"/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5050155" cy="2990850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fImage15042926832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790" cy="299148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  The blastocyst is more deeply embedded in the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endometrium and the penetration defect in the surface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epithelium is closed a fibrin coagulum. Vacuoles lacunae,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and this phase of trophoblast development is known as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lacunae stage. At the embryonic pole, flattened cells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probably originating from the hypoblast form a thin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membrane called excoelomic(Heuser) membrane that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lines the inner surface of the cytotrophoblast. This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membrane together with the hypoblast forms the lining of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the excoelomic cavity/primitive yolk sac,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420" w:right="0" w:firstLine="420"/>
        <w:rPr>
          <w:position w:val="0"/>
          <w:sz w:val="44"/>
          <w:szCs w:val="44"/>
          <w:rFonts w:ascii="Times New Roman" w:eastAsia="Times New Roman" w:hAnsi="Times New Roman" w:hint="default"/>
        </w:rPr>
      </w:pPr>
      <w:r>
        <w:rPr>
          <w:position w:val="0"/>
          <w:sz w:val="44"/>
          <w:szCs w:val="44"/>
          <w:rFonts w:ascii="Times New Roman" w:eastAsia="Times New Roman" w:hAnsi="Times New Roman" w:hint="default"/>
        </w:rPr>
        <w:t xml:space="preserve">DAY 11&amp;12;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420" w:right="0" w:firstLine="420"/>
        <w:rPr>
          <w:position w:val="0"/>
          <w:sz w:val="44"/>
          <w:szCs w:val="44"/>
          <w:rFonts w:ascii="Times New Roman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4723130" cy="3030855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fImage13209029433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765" cy="303149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  At this stage the blastocyst is completely embedded in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the endometrial stroma and the surface epithelium almost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entirely covers the original defect in the uterine wall. The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trophoblast is characterised by lacunae spaces in the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syncytium that form an intercommunicating network.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  The cells of the syncytiotrophoblast penetrate deeper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into the stroma and erode the endothelial lining of the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maternal capillaries, these capillaries which are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congested and dilated are known as sinusoids and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maternal blood enters the lacunar system. As the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trophoblast continues to erode more and more sinusoids,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maternal blood begins to flow through the trophoblastic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system establishing the uteroplacental circulation. Cells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come together to form extraembryonic mesoderm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between inner surface of the cytotrophoblast and the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outer surface of the excoelomic cavity, which eventually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fills all of the space between the trophoblast externally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and the amnion and exocoelomic membrane internally.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  Soon large cavities develop in the extraembryonic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mesoderm and when these become confluent, they form a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new space known as the extraembryonic cavity/chorionic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cavity. This space surrounds the primitive yolk sac and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amniotic cavity except where the germ disc is connected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to the trophoblast by the connecting stalk. The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extraembryonic mesoderm lining the cytotrophoblast and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amnion is called the extraembryonic somatic mesoderm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and the one lining covering the yolk sac is known as the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extraembryonic splanchnic mesoderm.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44"/>
          <w:szCs w:val="44"/>
          <w:rFonts w:ascii="Times New Roman" w:eastAsia="Times New Roman" w:hAnsi="Times New Roman" w:hint="default"/>
        </w:rPr>
      </w:pPr>
      <w:r>
        <w:rPr>
          <w:position w:val="0"/>
          <w:sz w:val="44"/>
          <w:szCs w:val="44"/>
          <w:rFonts w:ascii="Times New Roman" w:eastAsia="Times New Roman" w:hAnsi="Times New Roman" w:hint="default"/>
        </w:rPr>
        <w:t xml:space="preserve">  DAY 13;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840" w:right="0" w:firstLine="420"/>
        <w:rPr>
          <w:position w:val="0"/>
          <w:sz w:val="44"/>
          <w:szCs w:val="44"/>
          <w:rFonts w:ascii="Times New Roman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4319270" cy="3564890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fImage16841031589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56552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  At this stage, the surface defect in the endometrium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has usually healed. Occasionally, bleeding occurs at the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implantation site as a result of increased blood flow into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the lacunar space.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  The trophoblast is characterised by villous structures.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Cells of the cytotrophoblast proliferate locally and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penetrate into the syncytiotrophoblast, forming cellular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columns surrounded by syncytium. Cellular columns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with the syncytial covering are known as primary villi.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In the meantime, the hypoblast produces additional cells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that migrate along the inside of the excoelomic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membrane. These cells proliferate and gradually form a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new cavity within the exocoelomic membrane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cavity.This new cavity is known as the secondary yolk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sac/definitive yolk sac which is much smaller than the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original exocoelomic cavity or primitive yolk sac. During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its formation, large portions of the excoelomic cavity are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pinched off and these portions are represented by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exocoelomic cysts, which are often found in the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extraembryonic coelom or chorionic cavity.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  The extraembryonic colom expands and forms a large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cavity, the chorionic cavity. The embryonic mesoderm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lining the inside of the cytotrophoblast is then known as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the chorionic plate. The only place where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extraembryonic mesoderm traverses the chorionic cavity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is in the connecting stalk. With development of blood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vessels, the stalk becomes the umblical cord.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38"/>
          <w:szCs w:val="38"/>
          <w:rFonts w:ascii="Times New Roman" w:eastAsia="Times New Roman" w:hAnsi="Times New Roman" w:hint="default"/>
        </w:rPr>
      </w:pPr>
      <w:r>
        <w:rPr>
          <w:position w:val="0"/>
          <w:sz w:val="44"/>
          <w:szCs w:val="44"/>
          <w:rFonts w:ascii="Times New Roman" w:eastAsia="Times New Roman" w:hAnsi="Times New Roman" w:hint="default"/>
        </w:rPr>
        <w:t xml:space="preserve">   </w:t>
      </w:r>
      <w:r>
        <w:rPr>
          <w:position w:val="0"/>
          <w:sz w:val="38"/>
          <w:szCs w:val="38"/>
          <w:rFonts w:ascii="Times New Roman" w:eastAsia="Times New Roman" w:hAnsi="Times New Roman" w:hint="default"/>
        </w:rPr>
        <w:t xml:space="preserve">CLINICAL CORRELATES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  The syncytiotrophoblast is responsible for hormone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production including the human chorionic gonadotrophin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(hCG), which enters the maternal blood via lacunae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keeps the corpus luteum secreting estrogens and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progesterone. hCG maintains the hormonal activity of the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corpus luteum in the ovary during pregnancy hCG can be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detected in maternal blood or urine as early as day 10 of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pregnancy and is the basis for pregnancy tests. Enough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hCG is produced by the syncytiotrophoblast at the end of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the second week to give a positive pregnancy test, even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though the woman is probably unaware that she is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>pregnant.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●Extrauterine Implantation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  Blastocysts may implant outside the uterus. These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implantations result in ectopic pregnancies 95% to 98%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of ectopic implantations occur in the uterine tubes, most </w:t>
      </w:r>
      <w:r>
        <w:rPr>
          <w:position w:val="0"/>
          <w:sz w:val="36"/>
          <w:szCs w:val="36"/>
          <w:rFonts w:ascii="Times New Roman" w:eastAsia="Times New Roman" w:hAnsi="Times New Roman" w:hint="default"/>
        </w:rPr>
        <w:t xml:space="preserve">often in the ampulla and isthmus.</w:t>
      </w:r>
    </w:p>
    <w:sectPr>
      <w:pgSz w:w="11906" w:h="16838"/>
      <w:pgMar w:top="1440" w:left="1800" w:bottom="1440" w:right="180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4101857A"/>
    <w:lvl w:ilvl="0">
      <w:lvlJc w:val="left"/>
      <w:numFmt w:val="lowerRoman"/>
      <w:start w:val="1"/>
      <w:suff w:val="tab"/>
      <w:pPr>
        <w:ind w:firstLine="0"/>
        <w:tabs>
          <w:tab w:val="left" w:pos="312"/>
        </w:tabs>
      </w:pPr>
      <w:lvlText w:val="(%1)"/>
    </w:lvl>
    <w:lvl w:ilvl="1">
      <w:lvlJc w:val="left"/>
      <w:numFmt w:val="lowerRoman"/>
      <w:start w:val="1"/>
      <w:suff w:val="tab"/>
      <w:pPr>
        <w:ind w:firstLine="0"/>
        <w:tabs>
          <w:tab w:val="left" w:pos="312"/>
        </w:tabs>
      </w:pPr>
      <w:lvlText w:val="(%1)"/>
    </w:lvl>
    <w:lvl w:ilvl="2">
      <w:lvlJc w:val="left"/>
      <w:numFmt w:val="lowerRoman"/>
      <w:start w:val="1"/>
      <w:suff w:val="tab"/>
      <w:pPr>
        <w:ind w:firstLine="0"/>
        <w:tabs>
          <w:tab w:val="left" w:pos="312"/>
        </w:tabs>
      </w:pPr>
      <w:lvlText w:val="(%1)"/>
    </w:lvl>
    <w:lvl w:ilvl="3">
      <w:lvlJc w:val="left"/>
      <w:numFmt w:val="lowerRoman"/>
      <w:start w:val="1"/>
      <w:suff w:val="tab"/>
      <w:pPr>
        <w:ind w:firstLine="0"/>
        <w:tabs>
          <w:tab w:val="left" w:pos="312"/>
        </w:tabs>
      </w:pPr>
      <w:lvlText w:val="(%1)"/>
    </w:lvl>
    <w:lvl w:ilvl="4">
      <w:lvlJc w:val="left"/>
      <w:numFmt w:val="lowerRoman"/>
      <w:start w:val="1"/>
      <w:suff w:val="tab"/>
      <w:pPr>
        <w:ind w:firstLine="0"/>
        <w:tabs>
          <w:tab w:val="left" w:pos="312"/>
        </w:tabs>
      </w:pPr>
      <w:lvlText w:val="(%1)"/>
    </w:lvl>
    <w:lvl w:ilvl="5">
      <w:lvlJc w:val="left"/>
      <w:numFmt w:val="lowerRoman"/>
      <w:start w:val="1"/>
      <w:suff w:val="tab"/>
      <w:pPr>
        <w:ind w:firstLine="0"/>
        <w:tabs>
          <w:tab w:val="left" w:pos="312"/>
        </w:tabs>
      </w:pPr>
      <w:lvlText w:val="(%1)"/>
    </w:lvl>
    <w:lvl w:ilvl="6">
      <w:lvlJc w:val="left"/>
      <w:numFmt w:val="lowerRoman"/>
      <w:start w:val="1"/>
      <w:suff w:val="tab"/>
      <w:pPr>
        <w:ind w:firstLine="0"/>
        <w:tabs>
          <w:tab w:val="left" w:pos="312"/>
        </w:tabs>
      </w:pPr>
      <w:lvlText w:val="(%1)"/>
    </w:lvl>
    <w:lvl w:ilvl="7">
      <w:lvlJc w:val="left"/>
      <w:numFmt w:val="lowerRoman"/>
      <w:start w:val="1"/>
      <w:suff w:val="tab"/>
      <w:pPr>
        <w:ind w:firstLine="0"/>
        <w:tabs>
          <w:tab w:val="left" w:pos="312"/>
        </w:tabs>
      </w:pPr>
      <w:lvlText w:val="(%1)"/>
    </w:lvl>
    <w:lvl w:ilvl="8">
      <w:lvlJc w:val="left"/>
      <w:numFmt w:val="lowerRoman"/>
      <w:start w:val="1"/>
      <w:suff w:val="tab"/>
      <w:pPr>
        <w:ind w:firstLine="0"/>
        <w:tabs>
          <w:tab w:val="left" w:pos="312"/>
        </w:tabs>
      </w:pPr>
      <w:lvlText w:val="(%1)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rPr>
      <w:rFonts w:ascii="Calibri" w:eastAsia="宋体" w:hAnsi="Calibri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05193245517.jpeg"></Relationship><Relationship Id="rId6" Type="http://schemas.openxmlformats.org/officeDocument/2006/relationships/image" Target="media/fImage150429268321.jpeg"></Relationship><Relationship Id="rId7" Type="http://schemas.openxmlformats.org/officeDocument/2006/relationships/image" Target="media/fImage132090294338.jpeg"></Relationship><Relationship Id="rId8" Type="http://schemas.openxmlformats.org/officeDocument/2006/relationships/image" Target="media/fImage168410315898.jpeg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Jendor</dc:creator>
  <cp:lastModifiedBy>Polaris Office</cp:lastModifiedBy>
  <dcterms:modified xsi:type="dcterms:W3CDTF">2020-05-14T23:04:56Z</dcterms:modified>
</cp:coreProperties>
</file>