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89" w:rsidRDefault="00B70B45" w:rsidP="00B7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SHOFOWORA OREOLUWA</w:t>
      </w:r>
    </w:p>
    <w:p w:rsidR="00B70B45" w:rsidRDefault="00B70B45" w:rsidP="00B7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16/LAW01/196</w:t>
      </w:r>
    </w:p>
    <w:p w:rsidR="00B70B45" w:rsidRDefault="00B70B45" w:rsidP="00B7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LAW II</w:t>
      </w:r>
    </w:p>
    <w:p w:rsidR="00B70B45" w:rsidRDefault="00B70B45" w:rsidP="00B7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LPB 402</w:t>
      </w:r>
    </w:p>
    <w:p w:rsidR="00B70B45" w:rsidRDefault="00B70B45" w:rsidP="00B7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legal quagmire for determination in this question</w:t>
      </w:r>
      <w:r w:rsidR="006316B5">
        <w:rPr>
          <w:rFonts w:ascii="Times New Roman" w:hAnsi="Times New Roman" w:cs="Times New Roman"/>
          <w:sz w:val="24"/>
          <w:szCs w:val="24"/>
        </w:rPr>
        <w:t xml:space="preserve"> is whether </w:t>
      </w:r>
      <w:r w:rsidR="0081706C">
        <w:rPr>
          <w:rFonts w:ascii="Times New Roman" w:hAnsi="Times New Roman" w:cs="Times New Roman"/>
          <w:sz w:val="24"/>
          <w:szCs w:val="24"/>
        </w:rPr>
        <w:t xml:space="preserve">the revocation of Chief </w:t>
      </w:r>
      <w:proofErr w:type="spellStart"/>
      <w:r w:rsidR="0081706C">
        <w:rPr>
          <w:rFonts w:ascii="Times New Roman" w:hAnsi="Times New Roman" w:cs="Times New Roman"/>
          <w:sz w:val="24"/>
          <w:szCs w:val="24"/>
        </w:rPr>
        <w:t>Ajah’s</w:t>
      </w:r>
      <w:proofErr w:type="spellEnd"/>
      <w:r w:rsidR="0081706C">
        <w:rPr>
          <w:rFonts w:ascii="Times New Roman" w:hAnsi="Times New Roman" w:cs="Times New Roman"/>
          <w:sz w:val="24"/>
          <w:szCs w:val="24"/>
        </w:rPr>
        <w:t xml:space="preserve"> right of occupancy and the demolition of his property was constitutional.</w:t>
      </w:r>
    </w:p>
    <w:p w:rsidR="006316B5" w:rsidRDefault="006316B5" w:rsidP="00B7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>
        <w:rPr>
          <w:rFonts w:ascii="Times New Roman" w:hAnsi="Times New Roman" w:cs="Times New Roman"/>
          <w:i/>
          <w:sz w:val="24"/>
          <w:szCs w:val="24"/>
        </w:rPr>
        <w:t xml:space="preserve">Section 28 of the Land Use Act </w:t>
      </w:r>
      <w:r>
        <w:rPr>
          <w:rFonts w:ascii="Times New Roman" w:hAnsi="Times New Roman" w:cs="Times New Roman"/>
          <w:sz w:val="24"/>
          <w:szCs w:val="24"/>
        </w:rPr>
        <w:t>it is lawful for the Governor to revoke a right of occupancy for overriding public interest</w:t>
      </w:r>
      <w:r w:rsidR="00205C60">
        <w:rPr>
          <w:rFonts w:ascii="Times New Roman" w:hAnsi="Times New Roman" w:cs="Times New Roman"/>
          <w:sz w:val="24"/>
          <w:szCs w:val="24"/>
        </w:rPr>
        <w:t xml:space="preserve">. By virtue of </w:t>
      </w:r>
      <w:r w:rsidR="00205C60">
        <w:rPr>
          <w:rFonts w:ascii="Times New Roman" w:hAnsi="Times New Roman" w:cs="Times New Roman"/>
          <w:i/>
          <w:sz w:val="24"/>
          <w:szCs w:val="24"/>
        </w:rPr>
        <w:t xml:space="preserve">Section 28(6) of the Land Use Act </w:t>
      </w:r>
      <w:r w:rsidR="00205C60">
        <w:rPr>
          <w:rFonts w:ascii="Times New Roman" w:hAnsi="Times New Roman" w:cs="Times New Roman"/>
          <w:sz w:val="24"/>
          <w:szCs w:val="24"/>
        </w:rPr>
        <w:t xml:space="preserve">a notice of the revocation must be given to the holder. </w:t>
      </w:r>
    </w:p>
    <w:p w:rsidR="00A23BDB" w:rsidRDefault="00A23BDB" w:rsidP="00B7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316E59">
        <w:rPr>
          <w:rFonts w:ascii="Times New Roman" w:hAnsi="Times New Roman" w:cs="Times New Roman"/>
          <w:i/>
          <w:sz w:val="24"/>
          <w:szCs w:val="24"/>
        </w:rPr>
        <w:t>Section 44 of the Land Use Act</w:t>
      </w:r>
      <w:r>
        <w:rPr>
          <w:rFonts w:ascii="Times New Roman" w:hAnsi="Times New Roman" w:cs="Times New Roman"/>
          <w:sz w:val="24"/>
          <w:szCs w:val="24"/>
        </w:rPr>
        <w:t>, any notic</w:t>
      </w:r>
      <w:r w:rsidR="00663883">
        <w:rPr>
          <w:rFonts w:ascii="Times New Roman" w:hAnsi="Times New Roman" w:cs="Times New Roman"/>
          <w:sz w:val="24"/>
          <w:szCs w:val="24"/>
        </w:rPr>
        <w:t>e required to be served on must</w:t>
      </w:r>
      <w:r>
        <w:rPr>
          <w:rFonts w:ascii="Times New Roman" w:hAnsi="Times New Roman" w:cs="Times New Roman"/>
          <w:sz w:val="24"/>
          <w:szCs w:val="24"/>
        </w:rPr>
        <w:t xml:space="preserve"> be served by delivering to the person on whom it was served or by sending it to the person last named addressed or known abode.</w:t>
      </w:r>
      <w:r w:rsidR="00656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E59" w:rsidRDefault="00316E59" w:rsidP="00B7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9F3753">
        <w:rPr>
          <w:rFonts w:ascii="Times New Roman" w:hAnsi="Times New Roman" w:cs="Times New Roman"/>
          <w:i/>
          <w:sz w:val="24"/>
          <w:szCs w:val="24"/>
        </w:rPr>
        <w:t>Section 29 of the Land Use Act</w:t>
      </w:r>
      <w:r w:rsidR="009F3753">
        <w:rPr>
          <w:rFonts w:ascii="Times New Roman" w:hAnsi="Times New Roman" w:cs="Times New Roman"/>
          <w:sz w:val="24"/>
          <w:szCs w:val="24"/>
        </w:rPr>
        <w:t xml:space="preserve"> a perso</w:t>
      </w:r>
      <w:r w:rsidR="000054EF">
        <w:rPr>
          <w:rFonts w:ascii="Times New Roman" w:hAnsi="Times New Roman" w:cs="Times New Roman"/>
          <w:sz w:val="24"/>
          <w:szCs w:val="24"/>
        </w:rPr>
        <w:t>n</w:t>
      </w:r>
      <w:r w:rsidR="009F3753">
        <w:rPr>
          <w:rFonts w:ascii="Times New Roman" w:hAnsi="Times New Roman" w:cs="Times New Roman"/>
          <w:sz w:val="24"/>
          <w:szCs w:val="24"/>
        </w:rPr>
        <w:t xml:space="preserve"> whose right of occupancy is revoked in any manner outside the scope of what is stated in </w:t>
      </w:r>
      <w:r w:rsidR="009F3753">
        <w:rPr>
          <w:rFonts w:ascii="Times New Roman" w:hAnsi="Times New Roman" w:cs="Times New Roman"/>
          <w:i/>
          <w:sz w:val="24"/>
          <w:szCs w:val="24"/>
        </w:rPr>
        <w:t>The Land Use Act</w:t>
      </w:r>
      <w:r w:rsidR="00663883">
        <w:rPr>
          <w:rFonts w:ascii="Times New Roman" w:hAnsi="Times New Roman" w:cs="Times New Roman"/>
          <w:sz w:val="24"/>
          <w:szCs w:val="24"/>
        </w:rPr>
        <w:t>, the holder or occupier is entitled to compensation.</w:t>
      </w:r>
    </w:p>
    <w:p w:rsidR="00E821F4" w:rsidRPr="00E821F4" w:rsidRDefault="00E821F4" w:rsidP="00B7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Section 5 of the Quarantine Law </w:t>
      </w:r>
      <w:r>
        <w:rPr>
          <w:rFonts w:ascii="Times New Roman" w:hAnsi="Times New Roman" w:cs="Times New Roman"/>
          <w:sz w:val="24"/>
          <w:szCs w:val="24"/>
        </w:rPr>
        <w:t>states that</w:t>
      </w:r>
      <w:r w:rsidR="006A1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fines and imprisonment</w:t>
      </w:r>
      <w:r w:rsidR="00207D29">
        <w:rPr>
          <w:rFonts w:ascii="Times New Roman" w:hAnsi="Times New Roman" w:cs="Times New Roman"/>
          <w:sz w:val="24"/>
          <w:szCs w:val="24"/>
        </w:rPr>
        <w:t xml:space="preserve"> were the penalties for defaulting to obey </w:t>
      </w:r>
      <w:r>
        <w:rPr>
          <w:rFonts w:ascii="Times New Roman" w:hAnsi="Times New Roman" w:cs="Times New Roman"/>
          <w:sz w:val="24"/>
          <w:szCs w:val="24"/>
        </w:rPr>
        <w:t>the order to close hotels.</w:t>
      </w:r>
    </w:p>
    <w:p w:rsidR="00B70B45" w:rsidRDefault="00B70B45" w:rsidP="00B7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Applying the above principles of law to the scenario in question </w:t>
      </w:r>
      <w:r w:rsidR="00A23BDB">
        <w:rPr>
          <w:rFonts w:ascii="Times New Roman" w:hAnsi="Times New Roman" w:cs="Times New Roman"/>
          <w:sz w:val="24"/>
          <w:szCs w:val="24"/>
        </w:rPr>
        <w:t xml:space="preserve">the Governor had the legal right to revoke Chief </w:t>
      </w:r>
      <w:proofErr w:type="spellStart"/>
      <w:r w:rsidR="00A23BDB">
        <w:rPr>
          <w:rFonts w:ascii="Times New Roman" w:hAnsi="Times New Roman" w:cs="Times New Roman"/>
          <w:sz w:val="24"/>
          <w:szCs w:val="24"/>
        </w:rPr>
        <w:t>Ajah’s</w:t>
      </w:r>
      <w:proofErr w:type="spellEnd"/>
      <w:r w:rsidR="00A23BDB">
        <w:rPr>
          <w:rFonts w:ascii="Times New Roman" w:hAnsi="Times New Roman" w:cs="Times New Roman"/>
          <w:sz w:val="24"/>
          <w:szCs w:val="24"/>
        </w:rPr>
        <w:t xml:space="preserve"> right of occupancy because </w:t>
      </w:r>
      <w:r w:rsidR="00316E59">
        <w:rPr>
          <w:rFonts w:ascii="Times New Roman" w:hAnsi="Times New Roman" w:cs="Times New Roman"/>
          <w:sz w:val="24"/>
          <w:szCs w:val="24"/>
        </w:rPr>
        <w:t>he was</w:t>
      </w:r>
      <w:r w:rsidR="00A23BDB">
        <w:rPr>
          <w:rFonts w:ascii="Times New Roman" w:hAnsi="Times New Roman" w:cs="Times New Roman"/>
          <w:sz w:val="24"/>
          <w:szCs w:val="24"/>
        </w:rPr>
        <w:t xml:space="preserve"> in operating </w:t>
      </w:r>
      <w:r w:rsidR="00316E59">
        <w:rPr>
          <w:rFonts w:ascii="Times New Roman" w:hAnsi="Times New Roman" w:cs="Times New Roman"/>
          <w:sz w:val="24"/>
          <w:szCs w:val="24"/>
        </w:rPr>
        <w:t xml:space="preserve">his hotel </w:t>
      </w:r>
      <w:r w:rsidR="00A23BDB">
        <w:rPr>
          <w:rFonts w:ascii="Times New Roman" w:hAnsi="Times New Roman" w:cs="Times New Roman"/>
          <w:sz w:val="24"/>
          <w:szCs w:val="24"/>
        </w:rPr>
        <w:t xml:space="preserve">in </w:t>
      </w:r>
      <w:r w:rsidR="00EF7495">
        <w:rPr>
          <w:rFonts w:ascii="Times New Roman" w:hAnsi="Times New Roman" w:cs="Times New Roman"/>
          <w:sz w:val="24"/>
          <w:szCs w:val="24"/>
        </w:rPr>
        <w:t>defiance of the Executive Order, which w</w:t>
      </w:r>
      <w:r w:rsidR="00316E59">
        <w:rPr>
          <w:rFonts w:ascii="Times New Roman" w:hAnsi="Times New Roman" w:cs="Times New Roman"/>
          <w:sz w:val="24"/>
          <w:szCs w:val="24"/>
        </w:rPr>
        <w:t>as made in the public interest.</w:t>
      </w:r>
    </w:p>
    <w:p w:rsidR="00316E59" w:rsidRDefault="00316E59" w:rsidP="00B70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Nigeria, an executive order is only valid when the person giving the order is acting within the boundaries of their constitutional and statutory authorities.</w:t>
      </w:r>
      <w:r w:rsidR="00E26CA9">
        <w:rPr>
          <w:rFonts w:ascii="Times New Roman" w:hAnsi="Times New Roman" w:cs="Times New Roman"/>
          <w:sz w:val="24"/>
          <w:szCs w:val="24"/>
        </w:rPr>
        <w:t xml:space="preserve"> It is not within the Governor’s powers</w:t>
      </w:r>
      <w:r w:rsidR="00E821F4">
        <w:rPr>
          <w:rFonts w:ascii="Times New Roman" w:hAnsi="Times New Roman" w:cs="Times New Roman"/>
          <w:sz w:val="24"/>
          <w:szCs w:val="24"/>
        </w:rPr>
        <w:t xml:space="preserve"> under the </w:t>
      </w:r>
      <w:r w:rsidR="00E821F4">
        <w:rPr>
          <w:rFonts w:ascii="Times New Roman" w:hAnsi="Times New Roman" w:cs="Times New Roman"/>
          <w:i/>
          <w:sz w:val="24"/>
          <w:szCs w:val="24"/>
        </w:rPr>
        <w:t xml:space="preserve">Land Use </w:t>
      </w:r>
      <w:proofErr w:type="gramStart"/>
      <w:r w:rsidR="00E821F4">
        <w:rPr>
          <w:rFonts w:ascii="Times New Roman" w:hAnsi="Times New Roman" w:cs="Times New Roman"/>
          <w:i/>
          <w:sz w:val="24"/>
          <w:szCs w:val="24"/>
        </w:rPr>
        <w:t xml:space="preserve">Act </w:t>
      </w:r>
      <w:r w:rsidR="00E821F4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="00E821F4">
        <w:rPr>
          <w:rFonts w:ascii="Times New Roman" w:hAnsi="Times New Roman" w:cs="Times New Roman"/>
          <w:sz w:val="24"/>
          <w:szCs w:val="24"/>
        </w:rPr>
        <w:t xml:space="preserve"> even the </w:t>
      </w:r>
      <w:r w:rsidR="00E821F4">
        <w:rPr>
          <w:rFonts w:ascii="Times New Roman" w:hAnsi="Times New Roman" w:cs="Times New Roman"/>
          <w:i/>
          <w:sz w:val="24"/>
          <w:szCs w:val="24"/>
        </w:rPr>
        <w:t>Quarantine Law</w:t>
      </w:r>
      <w:r w:rsidR="00E26CA9">
        <w:rPr>
          <w:rFonts w:ascii="Times New Roman" w:hAnsi="Times New Roman" w:cs="Times New Roman"/>
          <w:sz w:val="24"/>
          <w:szCs w:val="24"/>
        </w:rPr>
        <w:t xml:space="preserve"> to order the demolition of property.</w:t>
      </w:r>
    </w:p>
    <w:p w:rsidR="00E821F4" w:rsidRPr="00E821F4" w:rsidRDefault="00E26CA9" w:rsidP="00E26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service of notice of the revocation of the right of occupancy on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himself. It is not stated that a notice was served on 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accordance with the provisions of the </w:t>
      </w:r>
      <w:r>
        <w:rPr>
          <w:rFonts w:ascii="Times New Roman" w:hAnsi="Times New Roman" w:cs="Times New Roman"/>
          <w:i/>
          <w:sz w:val="24"/>
          <w:szCs w:val="24"/>
        </w:rPr>
        <w:t>Land Use Act.</w:t>
      </w:r>
      <w:r>
        <w:rPr>
          <w:rFonts w:ascii="Times New Roman" w:hAnsi="Times New Roman" w:cs="Times New Roman"/>
          <w:sz w:val="24"/>
          <w:szCs w:val="24"/>
        </w:rPr>
        <w:t xml:space="preserve"> So therefore proper procedure was not followed and he is entitled to compensation.</w:t>
      </w:r>
    </w:p>
    <w:p w:rsidR="00B70B45" w:rsidRPr="00E821F4" w:rsidRDefault="00B70B45" w:rsidP="00B70B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821F4">
        <w:rPr>
          <w:rFonts w:ascii="Times New Roman" w:hAnsi="Times New Roman" w:cs="Times New Roman"/>
          <w:sz w:val="24"/>
          <w:szCs w:val="24"/>
        </w:rPr>
        <w:t xml:space="preserve">conclusion, I will thereby inform Chief </w:t>
      </w:r>
      <w:proofErr w:type="spellStart"/>
      <w:r w:rsidR="00E821F4">
        <w:rPr>
          <w:rFonts w:ascii="Times New Roman" w:hAnsi="Times New Roman" w:cs="Times New Roman"/>
          <w:sz w:val="24"/>
          <w:szCs w:val="24"/>
        </w:rPr>
        <w:t>Ajah</w:t>
      </w:r>
      <w:proofErr w:type="spellEnd"/>
      <w:r w:rsidR="00E821F4">
        <w:rPr>
          <w:rFonts w:ascii="Times New Roman" w:hAnsi="Times New Roman" w:cs="Times New Roman"/>
          <w:sz w:val="24"/>
          <w:szCs w:val="24"/>
        </w:rPr>
        <w:t xml:space="preserve"> that the demolition of his property was unconstitutional and therefore he has a right to sue the Governor because the Governor was acting outside the scope of his authority by demolishing his property. I will also advice him to request compensation for his land </w:t>
      </w:r>
      <w:proofErr w:type="spellStart"/>
      <w:r w:rsidR="00E821F4">
        <w:rPr>
          <w:rFonts w:ascii="Times New Roman" w:hAnsi="Times New Roman" w:cs="Times New Roman"/>
          <w:sz w:val="24"/>
          <w:szCs w:val="24"/>
        </w:rPr>
        <w:t>becausethe</w:t>
      </w:r>
      <w:proofErr w:type="spellEnd"/>
      <w:r w:rsidR="00E821F4">
        <w:rPr>
          <w:rFonts w:ascii="Times New Roman" w:hAnsi="Times New Roman" w:cs="Times New Roman"/>
          <w:sz w:val="24"/>
          <w:szCs w:val="24"/>
        </w:rPr>
        <w:t xml:space="preserve"> revocation of his right of occupancy was not according to due process because no notice was served on him in accordance with the provisions of the </w:t>
      </w:r>
      <w:r w:rsidR="00E821F4">
        <w:rPr>
          <w:rFonts w:ascii="Times New Roman" w:hAnsi="Times New Roman" w:cs="Times New Roman"/>
          <w:i/>
          <w:sz w:val="24"/>
          <w:szCs w:val="24"/>
        </w:rPr>
        <w:t>Land Use Act.</w:t>
      </w:r>
    </w:p>
    <w:sectPr w:rsidR="00B70B45" w:rsidRPr="00E821F4" w:rsidSect="00D62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70B45"/>
    <w:rsid w:val="000054EF"/>
    <w:rsid w:val="00205C60"/>
    <w:rsid w:val="00207D29"/>
    <w:rsid w:val="00316E59"/>
    <w:rsid w:val="00371FEF"/>
    <w:rsid w:val="006316B5"/>
    <w:rsid w:val="0065680D"/>
    <w:rsid w:val="00663883"/>
    <w:rsid w:val="006A17F9"/>
    <w:rsid w:val="0081706C"/>
    <w:rsid w:val="008461A4"/>
    <w:rsid w:val="009F3753"/>
    <w:rsid w:val="00A23BDB"/>
    <w:rsid w:val="00B70B45"/>
    <w:rsid w:val="00D62B89"/>
    <w:rsid w:val="00E26CA9"/>
    <w:rsid w:val="00E821F4"/>
    <w:rsid w:val="00EF7495"/>
    <w:rsid w:val="00FB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11</cp:revision>
  <dcterms:created xsi:type="dcterms:W3CDTF">2020-05-15T08:15:00Z</dcterms:created>
  <dcterms:modified xsi:type="dcterms:W3CDTF">2020-05-15T09:54:00Z</dcterms:modified>
</cp:coreProperties>
</file>