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b/>
          <w:sz w:val="24"/>
          <w:szCs w:val="24"/>
        </w:rPr>
        <w:t xml:space="preserve">OSE FAVOUR UFUOMAVEFE </w:t>
      </w:r>
    </w:p>
    <w:p>
      <w:pPr>
        <w:pStyle w:val="style0"/>
        <w:rPr>
          <w:rFonts w:ascii="Times New Roman" w:cs="Times New Roman" w:hAnsi="Times New Roman"/>
          <w:b/>
          <w:sz w:val="24"/>
          <w:szCs w:val="24"/>
        </w:rPr>
      </w:pPr>
      <w:r>
        <w:rPr>
          <w:rFonts w:ascii="Times New Roman" w:cs="Times New Roman" w:hAnsi="Times New Roman"/>
          <w:b/>
          <w:sz w:val="24"/>
          <w:szCs w:val="24"/>
        </w:rPr>
        <w:t>16/MHS01/214</w:t>
      </w:r>
    </w:p>
    <w:p>
      <w:pPr>
        <w:pStyle w:val="style0"/>
        <w:rPr>
          <w:rFonts w:ascii="Times New Roman" w:cs="Times New Roman" w:hAnsi="Times New Roman"/>
          <w:b/>
          <w:sz w:val="24"/>
          <w:szCs w:val="24"/>
        </w:rPr>
      </w:pPr>
      <w:r>
        <w:rPr>
          <w:rFonts w:ascii="Times New Roman" w:cs="Times New Roman" w:hAnsi="Times New Roman"/>
          <w:b/>
          <w:sz w:val="24"/>
          <w:szCs w:val="24"/>
        </w:rPr>
        <w:t>NSC 414</w:t>
      </w:r>
    </w:p>
    <w:p>
      <w:pPr>
        <w:pStyle w:val="style0"/>
        <w:rPr>
          <w:rFonts w:ascii="Times New Roman" w:cs="Times New Roman" w:hAnsi="Times New Roman"/>
          <w:b/>
          <w:sz w:val="24"/>
          <w:szCs w:val="24"/>
        </w:rPr>
      </w:pPr>
    </w:p>
    <w:p>
      <w:pPr>
        <w:pStyle w:val="style179"/>
        <w:numPr>
          <w:ilvl w:val="0"/>
          <w:numId w:val="1"/>
        </w:numPr>
        <w:spacing w:after="0" w:lineRule="auto" w:line="480"/>
        <w:textAlignment w:val="baseline"/>
        <w:outlineLvl w:val="0"/>
        <w:rPr>
          <w:rFonts w:ascii="Times New Roman" w:cs="Times New Roman" w:eastAsia="Times New Roman" w:hAnsi="Times New Roman"/>
          <w:b/>
          <w:color w:val="000000"/>
          <w:spacing w:val="15"/>
          <w:kern w:val="36"/>
          <w:sz w:val="28"/>
          <w:szCs w:val="28"/>
        </w:rPr>
      </w:pPr>
      <w:r>
        <w:rPr>
          <w:rFonts w:ascii="Times New Roman" w:cs="Times New Roman" w:eastAsia="Times New Roman" w:hAnsi="Times New Roman"/>
          <w:b/>
          <w:color w:val="000000"/>
          <w:spacing w:val="15"/>
          <w:kern w:val="36"/>
          <w:sz w:val="28"/>
          <w:szCs w:val="28"/>
        </w:rPr>
        <w:t>What is Trustworthiness in Qualitative Research?</w:t>
      </w:r>
    </w:p>
    <w:p>
      <w:pPr>
        <w:pStyle w:val="style0"/>
        <w:spacing w:lineRule="auto" w:line="480"/>
        <w:textAlignment w:val="baseline"/>
        <w:rPr>
          <w:rFonts w:ascii="Times New Roman" w:cs="Times New Roman" w:eastAsia="Times New Roman" w:hAnsi="Times New Roman"/>
          <w:color w:val="000000"/>
          <w:sz w:val="28"/>
          <w:szCs w:val="28"/>
        </w:rPr>
      </w:pPr>
      <w:r>
        <w:rPr>
          <w:rFonts w:ascii="Times New Roman" w:cs="Times New Roman" w:hAnsi="Times New Roman"/>
          <w:color w:val="000000"/>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r>
        <w:rPr>
          <w:rFonts w:ascii="Times New Roman" w:cs="Times New Roman" w:hAnsi="Times New Roman"/>
          <w:color w:val="000000"/>
          <w:sz w:val="28"/>
          <w:szCs w:val="28"/>
        </w:rPr>
        <w:t>Amankwaa</w:t>
      </w:r>
      <w:r>
        <w:rPr>
          <w:rFonts w:ascii="Times New Roman" w:cs="Times New Roman" w:hAnsi="Times New Roman"/>
          <w:color w:val="000000"/>
          <w:sz w:val="28"/>
          <w:szCs w:val="28"/>
        </w:rPr>
        <w:t xml:space="preserve">, 2016). Although most experts agree trustworthiness is necessary, debates have been waged in the </w:t>
      </w:r>
      <w:r>
        <w:rPr>
          <w:rFonts w:ascii="Times New Roman" w:cs="Times New Roman" w:hAnsi="Times New Roman"/>
          <w:color w:val="000000"/>
          <w:sz w:val="28"/>
          <w:szCs w:val="28"/>
        </w:rPr>
        <w:t>literature</w:t>
      </w:r>
      <w:r>
        <w:rPr>
          <w:rFonts w:ascii="Times New Roman" w:cs="Times New Roman" w:hAnsi="Times New Roman"/>
          <w:color w:val="000000"/>
          <w:sz w:val="28"/>
          <w:szCs w:val="28"/>
        </w:rPr>
        <w:t xml:space="preserve"> as to what constitutes trustworthiness (Leung, 2015).</w:t>
      </w:r>
      <w:r>
        <w:rPr>
          <w:rFonts w:ascii="Arial" w:cs="Arial" w:hAnsi="Arial"/>
          <w:color w:val="000000"/>
          <w:sz w:val="30"/>
          <w:szCs w:val="30"/>
        </w:rPr>
        <w:t xml:space="preserve"> </w:t>
      </w:r>
      <w:r>
        <w:rPr>
          <w:rFonts w:ascii="Times New Roman" w:cs="Times New Roman" w:eastAsia="Times New Roman" w:hAnsi="Times New Roman"/>
          <w:color w:val="000000"/>
          <w:sz w:val="28"/>
          <w:szCs w:val="28"/>
        </w:rPr>
        <w:t>Trustworthiness is all about establishing these four things, which are described in more detail below.</w:t>
      </w: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Credibility</w:t>
      </w:r>
      <w:r>
        <w:rPr>
          <w:color w:val="000000"/>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Transferability</w:t>
      </w:r>
      <w:r>
        <w:rPr>
          <w:color w:val="000000"/>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Pr>
          <w:color w:val="000000"/>
          <w:sz w:val="28"/>
          <w:szCs w:val="28"/>
        </w:rPr>
        <w:t>researchers can use thick description to show that the research study’s findings can be applicable to other contexts, circumstances, and situations.</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Confirmability</w:t>
      </w:r>
      <w:r>
        <w:rPr>
          <w:color w:val="000000"/>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pPr>
        <w:pStyle w:val="style94"/>
        <w:spacing w:before="0" w:beforeAutospacing="false" w:after="0" w:afterAutospacing="false" w:lineRule="auto" w:line="480"/>
        <w:textAlignment w:val="baseline"/>
        <w:rPr>
          <w:color w:val="000000"/>
          <w:sz w:val="28"/>
          <w:szCs w:val="28"/>
        </w:rPr>
      </w:pPr>
      <w:r>
        <w:rPr>
          <w:color w:val="000000"/>
          <w:sz w:val="28"/>
          <w:szCs w:val="28"/>
        </w:rPr>
        <w:t xml:space="preserve"> </w:t>
      </w:r>
      <w:r>
        <w:rPr>
          <w:b/>
          <w:iCs/>
          <w:color w:val="000000"/>
          <w:sz w:val="28"/>
          <w:szCs w:val="28"/>
        </w:rPr>
        <w:t>D</w:t>
      </w:r>
      <w:r>
        <w:rPr>
          <w:b/>
          <w:iCs/>
          <w:color w:val="000000"/>
          <w:sz w:val="28"/>
          <w:szCs w:val="28"/>
        </w:rPr>
        <w:t>ependability</w:t>
      </w:r>
      <w:r>
        <w:rPr>
          <w:color w:val="000000"/>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pPr>
        <w:pStyle w:val="style0"/>
        <w:spacing w:lineRule="auto" w:line="480"/>
        <w:textAlignment w:val="baseline"/>
        <w:rPr>
          <w:rFonts w:ascii="Times New Roman" w:cs="Times New Roman" w:eastAsia="Times New Roman" w:hAnsi="Times New Roman"/>
          <w:color w:val="333333"/>
          <w:sz w:val="28"/>
          <w:szCs w:val="28"/>
        </w:rPr>
      </w:pPr>
    </w:p>
    <w:p>
      <w:pPr>
        <w:pStyle w:val="style94"/>
        <w:numPr>
          <w:ilvl w:val="0"/>
          <w:numId w:val="1"/>
        </w:numPr>
        <w:spacing w:before="0" w:beforeAutospacing="false" w:after="0" w:afterAutospacing="false" w:lineRule="auto" w:line="480"/>
        <w:rPr>
          <w:rFonts w:ascii="Arial" w:cs="Arial" w:hAnsi="Arial"/>
          <w:b/>
          <w:color w:val="000000"/>
        </w:rPr>
      </w:pPr>
      <w:r>
        <w:rPr>
          <w:rFonts w:ascii="Arial" w:cs="Arial" w:hAnsi="Arial"/>
          <w:b/>
          <w:color w:val="000000"/>
        </w:rPr>
        <w:t>S</w:t>
      </w:r>
      <w:r>
        <w:rPr>
          <w:rFonts w:ascii="Arial" w:cs="Arial" w:hAnsi="Arial"/>
          <w:b/>
          <w:color w:val="000000"/>
        </w:rPr>
        <w:t>ATURATION OF DATA</w:t>
      </w:r>
    </w:p>
    <w:p>
      <w:pPr>
        <w:pStyle w:val="style94"/>
        <w:spacing w:before="0" w:beforeAutospacing="false" w:after="0" w:afterAutospacing="false" w:lineRule="auto" w:line="480"/>
        <w:ind w:left="720"/>
        <w:rPr>
          <w:rFonts w:ascii="Arial" w:cs="Arial" w:hAnsi="Arial"/>
          <w:b/>
          <w:color w:val="000000"/>
        </w:rPr>
      </w:pPr>
    </w:p>
    <w:p>
      <w:pPr>
        <w:pStyle w:val="style94"/>
        <w:spacing w:before="0" w:beforeAutospacing="false" w:after="0" w:afterAutospacing="false" w:lineRule="auto" w:line="480"/>
        <w:rPr>
          <w:color w:val="000000"/>
          <w:sz w:val="28"/>
          <w:szCs w:val="28"/>
        </w:rPr>
      </w:pPr>
      <w:r>
        <w:rPr>
          <w:color w:val="000000"/>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Pr>
          <w:color w:val="000000"/>
          <w:sz w:val="28"/>
          <w:szCs w:val="28"/>
        </w:rPr>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pPr>
        <w:pStyle w:val="style94"/>
        <w:numPr>
          <w:ilvl w:val="0"/>
          <w:numId w:val="1"/>
        </w:numPr>
        <w:spacing w:before="0" w:beforeAutospacing="false" w:after="290" w:afterAutospacing="false" w:lineRule="auto" w:line="480"/>
        <w:rPr>
          <w:color w:val="000000"/>
          <w:sz w:val="28"/>
          <w:szCs w:val="28"/>
        </w:rPr>
      </w:pPr>
      <w:r>
        <w:rPr>
          <w:b/>
          <w:color w:val="000000"/>
          <w:sz w:val="28"/>
          <w:szCs w:val="28"/>
        </w:rPr>
        <w:t>CONTENT ANALYSIS APPROACH</w:t>
      </w:r>
    </w:p>
    <w:p>
      <w:pPr>
        <w:pStyle w:val="style94"/>
        <w:spacing w:before="0" w:beforeAutospacing="false" w:after="290" w:afterAutospacing="false" w:lineRule="auto" w:line="480"/>
        <w:rPr>
          <w:color w:val="111111"/>
          <w:sz w:val="28"/>
          <w:szCs w:val="28"/>
        </w:rPr>
      </w:pPr>
      <w:r>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pPr>
        <w:pStyle w:val="style94"/>
        <w:spacing w:before="0" w:beforeAutospacing="false" w:after="299" w:afterAutospacing="false" w:lineRule="auto" w:line="480"/>
        <w:rPr>
          <w:color w:val="000000"/>
          <w:sz w:val="28"/>
          <w:szCs w:val="28"/>
        </w:rPr>
      </w:pPr>
      <w:r>
        <w:rPr>
          <w:color w:val="000000"/>
          <w:sz w:val="28"/>
          <w:szCs w:val="28"/>
        </w:rPr>
        <w:t>Types of content analysis</w:t>
      </w:r>
      <w:r>
        <w:rPr>
          <w:color w:val="000000"/>
          <w:sz w:val="28"/>
          <w:szCs w:val="28"/>
        </w:rPr>
        <w:t>:</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Conceptual Analysis</w:t>
      </w:r>
    </w:p>
    <w:p>
      <w:pPr>
        <w:pStyle w:val="style94"/>
        <w:spacing w:before="374" w:beforeAutospacing="false" w:after="374" w:afterAutospacing="false" w:lineRule="auto" w:line="480"/>
        <w:rPr>
          <w:color w:val="000000"/>
          <w:sz w:val="28"/>
          <w:szCs w:val="28"/>
        </w:rPr>
      </w:pPr>
      <w:r>
        <w:rPr>
          <w:color w:val="000000"/>
          <w:sz w:val="28"/>
          <w:szCs w:val="28"/>
        </w:rPr>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Relational Analysis</w:t>
      </w:r>
    </w:p>
    <w:p>
      <w:pPr>
        <w:pStyle w:val="style94"/>
        <w:spacing w:before="374" w:beforeAutospacing="false" w:after="374" w:afterAutospacing="false" w:lineRule="auto" w:line="480"/>
        <w:rPr>
          <w:color w:val="000000"/>
          <w:sz w:val="28"/>
          <w:szCs w:val="28"/>
        </w:rPr>
      </w:pPr>
      <w:r>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pPr>
        <w:pStyle w:val="style94"/>
        <w:numPr>
          <w:ilvl w:val="0"/>
          <w:numId w:val="1"/>
        </w:numPr>
        <w:spacing w:before="374" w:beforeAutospacing="false" w:after="374" w:afterAutospacing="false" w:lineRule="auto" w:line="480"/>
        <w:rPr>
          <w:color w:val="000000"/>
          <w:sz w:val="28"/>
          <w:szCs w:val="28"/>
        </w:rPr>
      </w:pPr>
      <w:r>
        <w:rPr>
          <w:b/>
          <w:color w:val="000000"/>
          <w:sz w:val="28"/>
          <w:szCs w:val="28"/>
        </w:rPr>
        <w:t xml:space="preserve">IN-DEPTH INTERVIEW </w:t>
      </w:r>
    </w:p>
    <w:p>
      <w:pPr>
        <w:pStyle w:val="style94"/>
        <w:spacing w:before="374" w:beforeAutospacing="false" w:after="374" w:afterAutospacing="false" w:lineRule="auto" w:line="480"/>
        <w:rPr>
          <w:color w:val="000000"/>
          <w:sz w:val="28"/>
          <w:szCs w:val="28"/>
        </w:rPr>
      </w:pPr>
      <w:r>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pPr>
        <w:pStyle w:val="style94"/>
        <w:spacing w:before="374" w:after="374" w:lineRule="auto" w:line="480"/>
        <w:rPr>
          <w:color w:val="000000"/>
          <w:sz w:val="28"/>
          <w:szCs w:val="28"/>
        </w:rPr>
      </w:pPr>
      <w:r>
        <w:rPr>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pStyle w:val="style94"/>
        <w:spacing w:before="374" w:beforeAutospacing="false" w:after="374" w:afterAutospacing="false" w:lineRule="auto" w:line="480"/>
        <w:rPr>
          <w:color w:val="000000"/>
          <w:sz w:val="28"/>
          <w:szCs w:val="28"/>
        </w:rPr>
      </w:pPr>
      <w:r>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pPr>
        <w:pStyle w:val="style94"/>
        <w:spacing w:before="0" w:beforeAutospacing="false" w:after="299" w:afterAutospacing="false" w:lineRule="auto" w:line="480"/>
        <w:rPr>
          <w:color w:val="000000"/>
          <w:sz w:val="28"/>
          <w:szCs w:val="28"/>
        </w:rPr>
      </w:pPr>
    </w:p>
    <w:p>
      <w:pPr>
        <w:pStyle w:val="style94"/>
        <w:spacing w:before="0" w:beforeAutospacing="false" w:after="299" w:afterAutospacing="false" w:lineRule="atLeast" w:line="539"/>
        <w:rPr>
          <w:color w:val="000000"/>
          <w:sz w:val="28"/>
          <w:szCs w:val="28"/>
        </w:rPr>
      </w:pPr>
    </w:p>
    <w:p>
      <w:pPr>
        <w:pStyle w:val="style94"/>
        <w:tabs>
          <w:tab w:val="left" w:leader="none" w:pos="5180"/>
        </w:tabs>
        <w:spacing w:before="0" w:beforeAutospacing="false" w:after="290" w:afterAutospacing="false"/>
        <w:rPr>
          <w:color w:val="111111"/>
          <w:sz w:val="28"/>
          <w:szCs w:val="28"/>
        </w:rPr>
      </w:pPr>
      <w:r>
        <w:rPr>
          <w:color w:val="111111"/>
          <w:sz w:val="28"/>
          <w:szCs w:val="28"/>
        </w:rPr>
        <w:tab/>
      </w:r>
    </w:p>
    <w:p>
      <w:pPr>
        <w:pStyle w:val="style0"/>
        <w:tabs>
          <w:tab w:val="left" w:leader="none" w:pos="7817"/>
        </w:tabs>
        <w:rPr>
          <w:rFonts w:ascii="Times New Roman" w:cs="Times New Roman" w:hAnsi="Times New Roman"/>
          <w:sz w:val="28"/>
          <w:szCs w:val="28"/>
        </w:rPr>
      </w:pPr>
      <w:r>
        <w:rPr>
          <w:rFonts w:ascii="Times New Roman" w:cs="Times New Roman" w:hAnsi="Times New Roman"/>
          <w:sz w:val="28"/>
          <w:szCs w:val="28"/>
        </w:rPr>
        <w:tab/>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cs="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cs="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cs="Courier New" w:hAnsi="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00000002"/>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4776C5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6">
    <w:name w:val="heading 6"/>
    <w:basedOn w:val="style0"/>
    <w:next w:val="style0"/>
    <w:link w:val="style4098"/>
    <w:qFormat/>
    <w:uiPriority w:val="9"/>
    <w:pPr>
      <w:keepNext/>
      <w:keepLines/>
      <w:spacing w:before="200" w:after="0"/>
      <w:outlineLvl w:val="5"/>
    </w:pPr>
    <w:rPr>
      <w:rFonts w:ascii="Cambria" w:cs="宋体" w:eastAsia="宋体" w:hAnsi="Cambria"/>
      <w:i/>
      <w:iCs/>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954bbcc2-7806-4ae0-a9eb-33a700cea8c1"/>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8">
    <w:name w:val="Heading 6 Char_6a500952-b340-4925-afbc-fc1bc2312a44"/>
    <w:basedOn w:val="style65"/>
    <w:next w:val="style4098"/>
    <w:link w:val="style6"/>
    <w:uiPriority w:val="9"/>
    <w:rPr>
      <w:rFonts w:ascii="Cambria" w:cs="宋体" w:eastAsia="宋体" w:hAnsi="Cambria"/>
      <w:i/>
      <w:iCs/>
      <w:color w:val="243f60"/>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885</Words>
  <Characters>4951</Characters>
  <Application>WPS Office</Application>
  <DocSecurity>0</DocSecurity>
  <Paragraphs>31</Paragraphs>
  <ScaleCrop>false</ScaleCrop>
  <Company>HP</Company>
  <LinksUpToDate>false</LinksUpToDate>
  <CharactersWithSpaces>5827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2020-05-15T09:55:52Z</dcterms:created>
  <dc:creator>HP</dc:creator>
  <lastModifiedBy>CPH1909</lastModifiedBy>
  <dcterms:modified xsi:type="dcterms:W3CDTF">2020-05-15T09:55:52Z</dcterms:modified>
  <revision>15</revision>
</coreProperties>
</file>

<file path=docProps/custom.xml><?xml version="1.0" encoding="utf-8"?>
<Properties xmlns="http://schemas.openxmlformats.org/officeDocument/2006/custom-properties" xmlns:vt="http://schemas.openxmlformats.org/officeDocument/2006/docPropsVTypes"/>
</file>