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4E" w:rsidRPr="00822995" w:rsidRDefault="00822995">
      <w:pPr>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Itah, Maureen Ndifreke</w:t>
      </w:r>
    </w:p>
    <w:p w:rsidR="00822995" w:rsidRDefault="00822995">
      <w:pPr>
        <w:rPr>
          <w:rFonts w:ascii="Times New Roman" w:hAnsi="Times New Roman" w:cs="Times New Roman"/>
          <w:sz w:val="24"/>
          <w:szCs w:val="24"/>
        </w:rPr>
      </w:pPr>
      <w:r>
        <w:rPr>
          <w:rFonts w:ascii="Times New Roman" w:hAnsi="Times New Roman" w:cs="Times New Roman"/>
          <w:b/>
          <w:sz w:val="24"/>
          <w:szCs w:val="24"/>
        </w:rPr>
        <w:t xml:space="preserve">MATRIC NUMBER: </w:t>
      </w:r>
      <w:r>
        <w:rPr>
          <w:rFonts w:ascii="Times New Roman" w:hAnsi="Times New Roman" w:cs="Times New Roman"/>
          <w:sz w:val="24"/>
          <w:szCs w:val="24"/>
        </w:rPr>
        <w:t>16/LAW01/110</w:t>
      </w:r>
    </w:p>
    <w:p w:rsidR="00EC493A" w:rsidRDefault="00EC493A" w:rsidP="00EC493A">
      <w:pPr>
        <w:spacing w:after="0"/>
        <w:rPr>
          <w:rFonts w:ascii="Times New Roman" w:hAnsi="Times New Roman" w:cs="Times New Roman"/>
          <w:sz w:val="24"/>
          <w:szCs w:val="24"/>
        </w:rPr>
      </w:pPr>
      <w:r>
        <w:rPr>
          <w:rFonts w:ascii="Times New Roman" w:hAnsi="Times New Roman" w:cs="Times New Roman"/>
          <w:sz w:val="24"/>
          <w:szCs w:val="24"/>
        </w:rPr>
        <w:t xml:space="preserve">There are two legal issues in the given question. </w:t>
      </w:r>
    </w:p>
    <w:p w:rsidR="00EC493A" w:rsidRDefault="00EC493A" w:rsidP="00EC493A">
      <w:pPr>
        <w:spacing w:after="0"/>
        <w:rPr>
          <w:rFonts w:ascii="Times New Roman" w:hAnsi="Times New Roman" w:cs="Times New Roman"/>
          <w:sz w:val="24"/>
          <w:szCs w:val="24"/>
        </w:rPr>
      </w:pPr>
      <w:r>
        <w:rPr>
          <w:rFonts w:ascii="Times New Roman" w:hAnsi="Times New Roman" w:cs="Times New Roman"/>
          <w:sz w:val="24"/>
          <w:szCs w:val="24"/>
        </w:rPr>
        <w:t xml:space="preserve">The first legal issue is whether the Governor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had the power to demolish Chief </w:t>
      </w:r>
      <w:proofErr w:type="spellStart"/>
      <w:r>
        <w:rPr>
          <w:rFonts w:ascii="Times New Roman" w:hAnsi="Times New Roman" w:cs="Times New Roman"/>
          <w:sz w:val="24"/>
          <w:szCs w:val="24"/>
        </w:rPr>
        <w:t>Ajah’s</w:t>
      </w:r>
      <w:proofErr w:type="spellEnd"/>
      <w:r>
        <w:rPr>
          <w:rFonts w:ascii="Times New Roman" w:hAnsi="Times New Roman" w:cs="Times New Roman"/>
          <w:sz w:val="24"/>
          <w:szCs w:val="24"/>
        </w:rPr>
        <w:t xml:space="preserve"> hotel, Tarzan hotel. </w:t>
      </w:r>
    </w:p>
    <w:p w:rsidR="00EC493A" w:rsidRDefault="00EC493A">
      <w:pPr>
        <w:rPr>
          <w:rFonts w:ascii="Times New Roman" w:hAnsi="Times New Roman" w:cs="Times New Roman"/>
          <w:sz w:val="24"/>
          <w:szCs w:val="24"/>
        </w:rPr>
      </w:pPr>
      <w:r>
        <w:rPr>
          <w:rFonts w:ascii="Times New Roman" w:hAnsi="Times New Roman" w:cs="Times New Roman"/>
          <w:sz w:val="24"/>
          <w:szCs w:val="24"/>
        </w:rPr>
        <w:t xml:space="preserve">The second legal issue is whether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will succeed in his claim against the Governor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w:t>
      </w:r>
    </w:p>
    <w:p w:rsidR="00EC493A" w:rsidRPr="00432BCE" w:rsidRDefault="00EC493A">
      <w:pPr>
        <w:rPr>
          <w:rFonts w:ascii="Times New Roman" w:hAnsi="Times New Roman" w:cs="Times New Roman"/>
          <w:sz w:val="24"/>
          <w:szCs w:val="24"/>
        </w:rPr>
      </w:pPr>
      <w:r>
        <w:rPr>
          <w:rFonts w:ascii="Times New Roman" w:hAnsi="Times New Roman" w:cs="Times New Roman"/>
          <w:sz w:val="24"/>
          <w:szCs w:val="24"/>
        </w:rPr>
        <w:t xml:space="preserve">Control of land is vested in the state. </w:t>
      </w:r>
      <w:r>
        <w:rPr>
          <w:rFonts w:ascii="Times New Roman" w:hAnsi="Times New Roman" w:cs="Times New Roman"/>
          <w:b/>
          <w:sz w:val="24"/>
          <w:szCs w:val="24"/>
        </w:rPr>
        <w:t xml:space="preserve">Section 1 of the Land Use Act, </w:t>
      </w:r>
      <w:r>
        <w:rPr>
          <w:rFonts w:ascii="Times New Roman" w:hAnsi="Times New Roman" w:cs="Times New Roman"/>
          <w:sz w:val="24"/>
          <w:szCs w:val="24"/>
        </w:rPr>
        <w:t>herein referred to as the Act, states that land ownership is vested in the Governors of a state. But this power is not absolute.</w:t>
      </w:r>
      <w:r w:rsidR="0085547B">
        <w:rPr>
          <w:rFonts w:ascii="Times New Roman" w:hAnsi="Times New Roman" w:cs="Times New Roman"/>
          <w:sz w:val="24"/>
          <w:szCs w:val="24"/>
        </w:rPr>
        <w:t xml:space="preserve"> </w:t>
      </w:r>
      <w:r w:rsidR="00432BCE">
        <w:rPr>
          <w:rFonts w:ascii="Times New Roman" w:hAnsi="Times New Roman" w:cs="Times New Roman"/>
          <w:b/>
          <w:sz w:val="24"/>
          <w:szCs w:val="24"/>
        </w:rPr>
        <w:t xml:space="preserve">Section 2 and 3 of the Act </w:t>
      </w:r>
      <w:r w:rsidR="00432BCE">
        <w:rPr>
          <w:rFonts w:ascii="Times New Roman" w:hAnsi="Times New Roman" w:cs="Times New Roman"/>
          <w:sz w:val="24"/>
          <w:szCs w:val="24"/>
        </w:rPr>
        <w:t>deals with the management and control of land, which is vested in the Governor.</w:t>
      </w:r>
    </w:p>
    <w:p w:rsidR="0085547B" w:rsidRPr="00FD15ED" w:rsidRDefault="0085547B">
      <w:pPr>
        <w:rPr>
          <w:rFonts w:ascii="Times New Roman" w:hAnsi="Times New Roman" w:cs="Times New Roman"/>
          <w:sz w:val="24"/>
          <w:szCs w:val="24"/>
        </w:rPr>
      </w:pPr>
      <w:r>
        <w:rPr>
          <w:rFonts w:ascii="Times New Roman" w:hAnsi="Times New Roman" w:cs="Times New Roman"/>
          <w:sz w:val="24"/>
          <w:szCs w:val="24"/>
        </w:rPr>
        <w:t xml:space="preserve">Under revocation of right of occupancy, </w:t>
      </w:r>
      <w:r>
        <w:rPr>
          <w:rFonts w:ascii="Times New Roman" w:hAnsi="Times New Roman" w:cs="Times New Roman"/>
          <w:b/>
          <w:sz w:val="24"/>
          <w:szCs w:val="24"/>
        </w:rPr>
        <w:t xml:space="preserve">section 28 of the Act </w:t>
      </w:r>
      <w:r>
        <w:rPr>
          <w:rFonts w:ascii="Times New Roman" w:hAnsi="Times New Roman" w:cs="Times New Roman"/>
          <w:sz w:val="24"/>
          <w:szCs w:val="24"/>
        </w:rPr>
        <w:t xml:space="preserve">gives requirements to be satisfied before a revocation can succeed. There has to be a purpose for the revocation, there should be a valid notice, and compensation. For the purpose of this question, focus will be placed on the requirement of notice. </w:t>
      </w:r>
      <w:r>
        <w:rPr>
          <w:rFonts w:ascii="Times New Roman" w:hAnsi="Times New Roman" w:cs="Times New Roman"/>
          <w:b/>
          <w:sz w:val="24"/>
          <w:szCs w:val="24"/>
        </w:rPr>
        <w:t xml:space="preserve">Section 28(6) </w:t>
      </w:r>
      <w:r>
        <w:rPr>
          <w:rFonts w:ascii="Times New Roman" w:hAnsi="Times New Roman" w:cs="Times New Roman"/>
          <w:sz w:val="24"/>
          <w:szCs w:val="24"/>
        </w:rPr>
        <w:t xml:space="preserve">that a notice must state the reason for revocation, and must be personally served on the holder, that is complying to the provisions of </w:t>
      </w:r>
      <w:r>
        <w:rPr>
          <w:rFonts w:ascii="Times New Roman" w:hAnsi="Times New Roman" w:cs="Times New Roman"/>
          <w:b/>
          <w:sz w:val="24"/>
          <w:szCs w:val="24"/>
        </w:rPr>
        <w:t xml:space="preserve">section 44 of the Act, </w:t>
      </w:r>
      <w:r>
        <w:rPr>
          <w:rFonts w:ascii="Times New Roman" w:hAnsi="Times New Roman" w:cs="Times New Roman"/>
          <w:sz w:val="24"/>
          <w:szCs w:val="24"/>
        </w:rPr>
        <w:t xml:space="preserve">which has to do with mode of service. This is supported by the case of </w:t>
      </w:r>
      <w:proofErr w:type="spellStart"/>
      <w:r>
        <w:rPr>
          <w:rFonts w:ascii="Times New Roman" w:hAnsi="Times New Roman" w:cs="Times New Roman"/>
          <w:b/>
          <w:sz w:val="24"/>
          <w:szCs w:val="24"/>
        </w:rPr>
        <w:t>Eso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Adonye</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and </w:t>
      </w:r>
      <w:r>
        <w:rPr>
          <w:rFonts w:ascii="Times New Roman" w:hAnsi="Times New Roman" w:cs="Times New Roman"/>
          <w:b/>
          <w:sz w:val="24"/>
          <w:szCs w:val="24"/>
        </w:rPr>
        <w:t xml:space="preserve">Obasanjo v Minister of FCT. </w:t>
      </w:r>
      <w:r w:rsidR="00FD15ED">
        <w:rPr>
          <w:rFonts w:ascii="Times New Roman" w:hAnsi="Times New Roman" w:cs="Times New Roman"/>
          <w:sz w:val="24"/>
          <w:szCs w:val="24"/>
        </w:rPr>
        <w:t xml:space="preserve">This was also supported by the case of </w:t>
      </w:r>
      <w:proofErr w:type="spellStart"/>
      <w:r w:rsidR="00FD15ED">
        <w:rPr>
          <w:rFonts w:ascii="Times New Roman" w:hAnsi="Times New Roman" w:cs="Times New Roman"/>
          <w:b/>
          <w:sz w:val="24"/>
          <w:szCs w:val="24"/>
        </w:rPr>
        <w:t>Ononjuju</w:t>
      </w:r>
      <w:proofErr w:type="spellEnd"/>
      <w:r w:rsidR="00FD15ED">
        <w:rPr>
          <w:rFonts w:ascii="Times New Roman" w:hAnsi="Times New Roman" w:cs="Times New Roman"/>
          <w:b/>
          <w:sz w:val="24"/>
          <w:szCs w:val="24"/>
        </w:rPr>
        <w:t xml:space="preserve"> v AG of Anambra State.</w:t>
      </w:r>
      <w:bookmarkStart w:id="0" w:name="_GoBack"/>
      <w:bookmarkEnd w:id="0"/>
    </w:p>
    <w:p w:rsidR="00432BCE" w:rsidRDefault="00432BCE">
      <w:pPr>
        <w:rPr>
          <w:rFonts w:ascii="Times New Roman" w:hAnsi="Times New Roman" w:cs="Times New Roman"/>
          <w:sz w:val="24"/>
          <w:szCs w:val="24"/>
        </w:rPr>
      </w:pPr>
      <w:r>
        <w:rPr>
          <w:rFonts w:ascii="Times New Roman" w:hAnsi="Times New Roman" w:cs="Times New Roman"/>
          <w:sz w:val="24"/>
          <w:szCs w:val="24"/>
        </w:rPr>
        <w:t xml:space="preserve">To resolve the first legal issue, the Governor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was wrong in the demolition of Chief </w:t>
      </w:r>
      <w:proofErr w:type="spellStart"/>
      <w:r>
        <w:rPr>
          <w:rFonts w:ascii="Times New Roman" w:hAnsi="Times New Roman" w:cs="Times New Roman"/>
          <w:sz w:val="24"/>
          <w:szCs w:val="24"/>
        </w:rPr>
        <w:t>Ajah’s</w:t>
      </w:r>
      <w:proofErr w:type="spellEnd"/>
      <w:r>
        <w:rPr>
          <w:rFonts w:ascii="Times New Roman" w:hAnsi="Times New Roman" w:cs="Times New Roman"/>
          <w:sz w:val="24"/>
          <w:szCs w:val="24"/>
        </w:rPr>
        <w:t xml:space="preserve"> hotel, especially as no notice was served to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In </w:t>
      </w:r>
      <w:proofErr w:type="spellStart"/>
      <w:r>
        <w:rPr>
          <w:rFonts w:ascii="Times New Roman" w:hAnsi="Times New Roman" w:cs="Times New Roman"/>
          <w:b/>
          <w:sz w:val="24"/>
          <w:szCs w:val="24"/>
        </w:rPr>
        <w:t>Olateju</w:t>
      </w:r>
      <w:proofErr w:type="spellEnd"/>
      <w:r>
        <w:rPr>
          <w:rFonts w:ascii="Times New Roman" w:hAnsi="Times New Roman" w:cs="Times New Roman"/>
          <w:b/>
          <w:sz w:val="24"/>
          <w:szCs w:val="24"/>
        </w:rPr>
        <w:t xml:space="preserve"> v Commissioner of Land and House </w:t>
      </w:r>
      <w:proofErr w:type="spellStart"/>
      <w:r>
        <w:rPr>
          <w:rFonts w:ascii="Times New Roman" w:hAnsi="Times New Roman" w:cs="Times New Roman"/>
          <w:b/>
          <w:sz w:val="24"/>
          <w:szCs w:val="24"/>
        </w:rPr>
        <w:t>Kwara</w:t>
      </w:r>
      <w:proofErr w:type="spellEnd"/>
      <w:r>
        <w:rPr>
          <w:rFonts w:ascii="Times New Roman" w:hAnsi="Times New Roman" w:cs="Times New Roman"/>
          <w:b/>
          <w:sz w:val="24"/>
          <w:szCs w:val="24"/>
        </w:rPr>
        <w:t xml:space="preserve"> State, </w:t>
      </w:r>
      <w:r>
        <w:rPr>
          <w:rFonts w:ascii="Times New Roman" w:hAnsi="Times New Roman" w:cs="Times New Roman"/>
          <w:sz w:val="24"/>
          <w:szCs w:val="24"/>
        </w:rPr>
        <w:t>it was held that the act of the commissioner was wrong because notice was not served personally. And also, an executive order is subject to judicial review and can be dismissed where it is inconsistent with the C</w:t>
      </w:r>
      <w:r w:rsidR="00A7397F">
        <w:rPr>
          <w:rFonts w:ascii="Times New Roman" w:hAnsi="Times New Roman" w:cs="Times New Roman"/>
          <w:sz w:val="24"/>
          <w:szCs w:val="24"/>
        </w:rPr>
        <w:t xml:space="preserve">onstitution, and particularly </w:t>
      </w:r>
      <w:r>
        <w:rPr>
          <w:rFonts w:ascii="Times New Roman" w:hAnsi="Times New Roman" w:cs="Times New Roman"/>
          <w:sz w:val="24"/>
          <w:szCs w:val="24"/>
        </w:rPr>
        <w:t>in this case</w:t>
      </w:r>
      <w:r w:rsidR="00A7397F">
        <w:rPr>
          <w:rFonts w:ascii="Times New Roman" w:hAnsi="Times New Roman" w:cs="Times New Roman"/>
          <w:sz w:val="24"/>
          <w:szCs w:val="24"/>
        </w:rPr>
        <w:t>,</w:t>
      </w:r>
      <w:r>
        <w:rPr>
          <w:rFonts w:ascii="Times New Roman" w:hAnsi="Times New Roman" w:cs="Times New Roman"/>
          <w:sz w:val="24"/>
          <w:szCs w:val="24"/>
        </w:rPr>
        <w:t xml:space="preserve"> the Land Use Act.</w:t>
      </w:r>
      <w:r w:rsidR="00A7397F">
        <w:rPr>
          <w:rFonts w:ascii="Times New Roman" w:hAnsi="Times New Roman" w:cs="Times New Roman"/>
          <w:sz w:val="24"/>
          <w:szCs w:val="24"/>
        </w:rPr>
        <w:t xml:space="preserve"> I</w:t>
      </w:r>
      <w:r>
        <w:rPr>
          <w:rFonts w:ascii="Times New Roman" w:hAnsi="Times New Roman" w:cs="Times New Roman"/>
          <w:sz w:val="24"/>
          <w:szCs w:val="24"/>
        </w:rPr>
        <w:t xml:space="preserve">n this light, the executive order of the Governor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to demolish any public place that continues to run is subject to the provisions of the </w:t>
      </w:r>
      <w:r>
        <w:rPr>
          <w:rFonts w:ascii="Times New Roman" w:hAnsi="Times New Roman" w:cs="Times New Roman"/>
          <w:b/>
          <w:sz w:val="24"/>
          <w:szCs w:val="24"/>
        </w:rPr>
        <w:t xml:space="preserve">Land Use Act </w:t>
      </w:r>
      <w:r>
        <w:rPr>
          <w:rFonts w:ascii="Times New Roman" w:hAnsi="Times New Roman" w:cs="Times New Roman"/>
          <w:sz w:val="24"/>
          <w:szCs w:val="24"/>
        </w:rPr>
        <w:t xml:space="preserve">and also the Quarantine Law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w:t>
      </w:r>
    </w:p>
    <w:p w:rsidR="00A7397F" w:rsidRDefault="00A7397F">
      <w:pPr>
        <w:rPr>
          <w:rFonts w:ascii="Times New Roman" w:hAnsi="Times New Roman" w:cs="Times New Roman"/>
          <w:sz w:val="24"/>
          <w:szCs w:val="24"/>
        </w:rPr>
      </w:pPr>
      <w:r>
        <w:rPr>
          <w:rFonts w:ascii="Times New Roman" w:hAnsi="Times New Roman" w:cs="Times New Roman"/>
          <w:sz w:val="24"/>
          <w:szCs w:val="24"/>
        </w:rPr>
        <w:t xml:space="preserve">I will resolve the second legal issue in the positive.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will be able to succeed in his claim against the Governor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by the singular reason that he was not served with notice prior to the Governor’s act of demolition. Although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was wrong in still continuing his business and keeping his hotel running, by virtue of </w:t>
      </w:r>
      <w:r>
        <w:rPr>
          <w:rFonts w:ascii="Times New Roman" w:hAnsi="Times New Roman" w:cs="Times New Roman"/>
          <w:b/>
          <w:sz w:val="24"/>
          <w:szCs w:val="24"/>
        </w:rPr>
        <w:t xml:space="preserve">section 5 of the Quarantine Law </w:t>
      </w:r>
      <w:r>
        <w:rPr>
          <w:rFonts w:ascii="Times New Roman" w:hAnsi="Times New Roman" w:cs="Times New Roman"/>
          <w:sz w:val="24"/>
          <w:szCs w:val="24"/>
        </w:rPr>
        <w:t xml:space="preserve">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it provides for punishment of fines and imprisonment for the default of the order and not demolition as the punishment, especially one without notice. </w:t>
      </w:r>
      <w:r w:rsidR="00491B84">
        <w:rPr>
          <w:rFonts w:ascii="Times New Roman" w:hAnsi="Times New Roman" w:cs="Times New Roman"/>
          <w:sz w:val="24"/>
          <w:szCs w:val="24"/>
        </w:rPr>
        <w:t>Also, the Constitution provides for right to fair trial.</w:t>
      </w:r>
    </w:p>
    <w:p w:rsidR="00A7397F" w:rsidRPr="00A7397F" w:rsidRDefault="00A7397F">
      <w:pPr>
        <w:rPr>
          <w:rFonts w:ascii="Times New Roman" w:hAnsi="Times New Roman" w:cs="Times New Roman"/>
          <w:sz w:val="24"/>
          <w:szCs w:val="24"/>
        </w:rPr>
      </w:pPr>
      <w:r>
        <w:rPr>
          <w:rFonts w:ascii="Times New Roman" w:hAnsi="Times New Roman" w:cs="Times New Roman"/>
          <w:sz w:val="24"/>
          <w:szCs w:val="24"/>
        </w:rPr>
        <w:t xml:space="preserve">I will advise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to carry on with his claim against the Governor of </w:t>
      </w:r>
      <w:proofErr w:type="spellStart"/>
      <w:r>
        <w:rPr>
          <w:rFonts w:ascii="Times New Roman" w:hAnsi="Times New Roman" w:cs="Times New Roman"/>
          <w:sz w:val="24"/>
          <w:szCs w:val="24"/>
        </w:rPr>
        <w:t>Kuzuland</w:t>
      </w:r>
      <w:proofErr w:type="spellEnd"/>
      <w:r w:rsidR="00491B84">
        <w:rPr>
          <w:rFonts w:ascii="Times New Roman" w:hAnsi="Times New Roman" w:cs="Times New Roman"/>
          <w:sz w:val="24"/>
          <w:szCs w:val="24"/>
        </w:rPr>
        <w:t>, relying on the above given points.</w:t>
      </w:r>
    </w:p>
    <w:sectPr w:rsidR="00A7397F" w:rsidRPr="00A73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95"/>
    <w:rsid w:val="0019184E"/>
    <w:rsid w:val="00432BCE"/>
    <w:rsid w:val="00491B84"/>
    <w:rsid w:val="00822995"/>
    <w:rsid w:val="0085547B"/>
    <w:rsid w:val="00A7397F"/>
    <w:rsid w:val="00EC493A"/>
    <w:rsid w:val="00FD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264D"/>
  <w15:chartTrackingRefBased/>
  <w15:docId w15:val="{C6C9329A-E0E2-4D2E-BDEC-184CBF6E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418</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asanitaiwo</dc:creator>
  <cp:keywords/>
  <dc:description/>
  <cp:lastModifiedBy>asanitaiwo</cp:lastModifiedBy>
  <cp:revision>4</cp:revision>
  <dcterms:created xsi:type="dcterms:W3CDTF">2020-05-15T09:56:00Z</dcterms:created>
  <dcterms:modified xsi:type="dcterms:W3CDTF">2020-05-15T11:17:00Z</dcterms:modified>
</cp:coreProperties>
</file>