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82" w:rsidRDefault="00CA7882" w:rsidP="00CA7882">
      <w:pPr>
        <w:rPr>
          <w:rFonts w:ascii="Times New Roman" w:hAnsi="Times New Roman" w:cs="Times New Roman"/>
          <w:sz w:val="24"/>
          <w:szCs w:val="24"/>
        </w:rPr>
      </w:pPr>
      <w:r>
        <w:rPr>
          <w:rFonts w:ascii="Times New Roman" w:hAnsi="Times New Roman" w:cs="Times New Roman"/>
          <w:sz w:val="24"/>
          <w:szCs w:val="24"/>
        </w:rPr>
        <w:t>Name: Ayeni</w:t>
      </w:r>
      <w:r w:rsidRPr="00CA7882">
        <w:rPr>
          <w:rFonts w:ascii="Times New Roman" w:hAnsi="Times New Roman" w:cs="Times New Roman"/>
          <w:sz w:val="24"/>
          <w:szCs w:val="24"/>
        </w:rPr>
        <w:t xml:space="preserve"> Moyinoluwa</w:t>
      </w:r>
      <w:r>
        <w:rPr>
          <w:rFonts w:ascii="Times New Roman" w:hAnsi="Times New Roman" w:cs="Times New Roman"/>
          <w:sz w:val="24"/>
          <w:szCs w:val="24"/>
        </w:rPr>
        <w:t xml:space="preserve"> Precious</w:t>
      </w:r>
    </w:p>
    <w:p w:rsidR="00CA7882" w:rsidRDefault="00CA7882" w:rsidP="00CA7882">
      <w:pPr>
        <w:rPr>
          <w:rFonts w:ascii="Times New Roman" w:hAnsi="Times New Roman" w:cs="Times New Roman"/>
          <w:sz w:val="24"/>
          <w:szCs w:val="24"/>
        </w:rPr>
      </w:pPr>
      <w:r>
        <w:rPr>
          <w:rFonts w:ascii="Times New Roman" w:hAnsi="Times New Roman" w:cs="Times New Roman"/>
          <w:sz w:val="24"/>
          <w:szCs w:val="24"/>
        </w:rPr>
        <w:t>Matric No: 16/law01/043</w:t>
      </w:r>
    </w:p>
    <w:p w:rsidR="00CA7882" w:rsidRPr="00CA7882" w:rsidRDefault="00CA7882" w:rsidP="00CA7882">
      <w:pPr>
        <w:rPr>
          <w:rFonts w:ascii="Times New Roman" w:hAnsi="Times New Roman" w:cs="Times New Roman"/>
          <w:sz w:val="24"/>
          <w:szCs w:val="24"/>
        </w:rPr>
      </w:pPr>
      <w:r w:rsidRPr="00CA7882">
        <w:rPr>
          <w:rFonts w:ascii="Times New Roman" w:hAnsi="Times New Roman" w:cs="Times New Roman"/>
          <w:sz w:val="24"/>
          <w:szCs w:val="24"/>
        </w:rPr>
        <w:t>Course Title: Land Law II</w:t>
      </w:r>
    </w:p>
    <w:p w:rsidR="002E3A63" w:rsidRDefault="00CA7882" w:rsidP="00CA7882">
      <w:pPr>
        <w:rPr>
          <w:rFonts w:ascii="Times New Roman" w:hAnsi="Times New Roman" w:cs="Times New Roman"/>
          <w:sz w:val="24"/>
          <w:szCs w:val="24"/>
        </w:rPr>
      </w:pPr>
      <w:r w:rsidRPr="00CA7882">
        <w:rPr>
          <w:rFonts w:ascii="Times New Roman" w:hAnsi="Times New Roman" w:cs="Times New Roman"/>
          <w:sz w:val="24"/>
          <w:szCs w:val="24"/>
        </w:rPr>
        <w:t>Course Code: LPB 402</w:t>
      </w:r>
    </w:p>
    <w:p w:rsidR="004B0A02" w:rsidRDefault="004B0A02" w:rsidP="00CA7882">
      <w:pPr>
        <w:rPr>
          <w:rFonts w:ascii="Times New Roman" w:hAnsi="Times New Roman" w:cs="Times New Roman"/>
          <w:sz w:val="24"/>
          <w:szCs w:val="24"/>
        </w:rPr>
      </w:pPr>
    </w:p>
    <w:p w:rsidR="004B0A02" w:rsidRPr="004B0A0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 xml:space="preserve">The pandemic Covid- 19 broke out in Kuzuland. The Governor, in pursuant of the powers conferred on him under the Quarantine Law, made an executive order closing down all public places including bars, restaurants, hotels, clubs, </w:t>
      </w:r>
      <w:r w:rsidR="00231546" w:rsidRPr="004B0A02">
        <w:rPr>
          <w:rFonts w:ascii="Times New Roman" w:hAnsi="Times New Roman" w:cs="Times New Roman"/>
          <w:sz w:val="24"/>
          <w:szCs w:val="24"/>
        </w:rPr>
        <w:t>and event</w:t>
      </w:r>
      <w:r w:rsidRPr="004B0A02">
        <w:rPr>
          <w:rFonts w:ascii="Times New Roman" w:hAnsi="Times New Roman" w:cs="Times New Roman"/>
          <w:sz w:val="24"/>
          <w:szCs w:val="24"/>
        </w:rPr>
        <w:t xml:space="preserve"> centers, among others.  Any public place which continues such businesses shall be demolished as provided in the executive order.  S. 5 of the Quarantine Law provides fines and imprisonme</w:t>
      </w:r>
      <w:r>
        <w:rPr>
          <w:rFonts w:ascii="Times New Roman" w:hAnsi="Times New Roman" w:cs="Times New Roman"/>
          <w:sz w:val="24"/>
          <w:szCs w:val="24"/>
        </w:rPr>
        <w:t xml:space="preserve">nt as the penalty for default.  </w:t>
      </w:r>
      <w:r w:rsidRPr="004B0A02">
        <w:rPr>
          <w:rFonts w:ascii="Times New Roman" w:hAnsi="Times New Roman" w:cs="Times New Roman"/>
          <w:sz w:val="24"/>
          <w:szCs w:val="24"/>
        </w:rPr>
        <w:t xml:space="preserve">Recently, Tarzan hotel has been operating in defiance of this order despite warnings. As stipulated in the order, the governor demolished Tarzan hotels. </w:t>
      </w:r>
    </w:p>
    <w:p w:rsidR="004B0A02" w:rsidRPr="004B0A0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Chief Ajah, the owner of Tarzan hotel, has been expressing his displeasure on all media platforms. He believes the action of the Governor is unconstitutional and contravenes the procedures under the Constitution and the Land Use Act. For him, even if he were wrong, the punishment was unlawful. He has sworn to contest the Governor’s action in court and get redress. Chief Ajah has approached you for your legal advice.  Succinctly advise him with legal authorities as to his chances of success in court in an action contesting the legality of the Governor’s action in demolishing his hotel particularly in the light of the Quarantine law, the Executive Order, the Constitution and the Land Use Act. Assume that the laws of Kuzuland are same as the relevant Nigerian Legislations.</w:t>
      </w:r>
    </w:p>
    <w:p w:rsidR="004B0A02" w:rsidRPr="004B0A0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Instructions:</w:t>
      </w:r>
      <w:r w:rsidRPr="004B0A02">
        <w:t xml:space="preserve"> </w:t>
      </w:r>
      <w:r w:rsidRPr="004B0A02">
        <w:rPr>
          <w:rFonts w:ascii="Times New Roman" w:hAnsi="Times New Roman" w:cs="Times New Roman"/>
          <w:sz w:val="24"/>
          <w:szCs w:val="24"/>
        </w:rPr>
        <w:t>Provide your answers in MAXIMUM OF 2 PAGES.</w:t>
      </w:r>
    </w:p>
    <w:p w:rsidR="004B0A02" w:rsidRPr="004B0A0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 xml:space="preserve">    As informed earlier, the test is a 30 mins test but you will be allowed extra minutes to type and upload your work. Students MUST SUBMIT the assignment on or before 11.20am as those submitted thereafter will not be considered for the purpose of the CA. Ensure you upload </w:t>
      </w:r>
      <w:r w:rsidR="00231546" w:rsidRPr="004B0A02">
        <w:rPr>
          <w:rFonts w:ascii="Times New Roman" w:hAnsi="Times New Roman" w:cs="Times New Roman"/>
          <w:sz w:val="24"/>
          <w:szCs w:val="24"/>
        </w:rPr>
        <w:t>your</w:t>
      </w:r>
      <w:r w:rsidRPr="004B0A02">
        <w:rPr>
          <w:rFonts w:ascii="Times New Roman" w:hAnsi="Times New Roman" w:cs="Times New Roman"/>
          <w:sz w:val="24"/>
          <w:szCs w:val="24"/>
        </w:rPr>
        <w:t xml:space="preserve"> answers early and do not wait till the umpteenth minute to rush to submit considering network challenges. Note that excuses will not be permitted.</w:t>
      </w:r>
    </w:p>
    <w:p w:rsidR="004B0A02" w:rsidRPr="004B0A0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 xml:space="preserve">    Also, type out your answers in a word or pdf document and upload, do not type directly in the portal.</w:t>
      </w:r>
    </w:p>
    <w:p w:rsidR="004B0A02" w:rsidRPr="004B0A0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 xml:space="preserve">    Ensure you also write out your Matric no clearly on top of your word document.</w:t>
      </w:r>
    </w:p>
    <w:p w:rsidR="004B0A02" w:rsidRPr="004B0A02" w:rsidRDefault="004B0A02" w:rsidP="004B0A02">
      <w:pPr>
        <w:rPr>
          <w:rFonts w:ascii="Times New Roman" w:hAnsi="Times New Roman" w:cs="Times New Roman"/>
          <w:sz w:val="24"/>
          <w:szCs w:val="24"/>
        </w:rPr>
      </w:pPr>
    </w:p>
    <w:p w:rsidR="004B0A02" w:rsidRPr="00CA7882" w:rsidRDefault="004B0A02" w:rsidP="004B0A02">
      <w:pPr>
        <w:rPr>
          <w:rFonts w:ascii="Times New Roman" w:hAnsi="Times New Roman" w:cs="Times New Roman"/>
          <w:sz w:val="24"/>
          <w:szCs w:val="24"/>
        </w:rPr>
      </w:pPr>
      <w:r w:rsidRPr="004B0A02">
        <w:rPr>
          <w:rFonts w:ascii="Times New Roman" w:hAnsi="Times New Roman" w:cs="Times New Roman"/>
          <w:sz w:val="24"/>
          <w:szCs w:val="24"/>
        </w:rPr>
        <w:t xml:space="preserve">    </w:t>
      </w:r>
    </w:p>
    <w:p w:rsidR="004B0A02" w:rsidRDefault="004B0A02" w:rsidP="004B0A02">
      <w:pPr>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481314" w:rsidRDefault="004B0A02" w:rsidP="004B0A02">
      <w:pPr>
        <w:rPr>
          <w:rFonts w:ascii="Times New Roman" w:hAnsi="Times New Roman" w:cs="Times New Roman"/>
          <w:sz w:val="24"/>
          <w:szCs w:val="24"/>
        </w:rPr>
      </w:pPr>
      <w:r>
        <w:rPr>
          <w:rFonts w:ascii="Times New Roman" w:hAnsi="Times New Roman" w:cs="Times New Roman"/>
          <w:sz w:val="24"/>
          <w:szCs w:val="24"/>
        </w:rPr>
        <w:t xml:space="preserve">The legal issue in the above painted </w:t>
      </w:r>
      <w:r w:rsidR="00481314">
        <w:rPr>
          <w:rFonts w:ascii="Times New Roman" w:hAnsi="Times New Roman" w:cs="Times New Roman"/>
          <w:sz w:val="24"/>
          <w:szCs w:val="24"/>
        </w:rPr>
        <w:t>scenario is as to whether the actions of the governor was right with relation to the revocation of occupancy for overriding public interest.</w:t>
      </w:r>
    </w:p>
    <w:p w:rsidR="004B0A02" w:rsidRDefault="00481314" w:rsidP="004B0A02">
      <w:pPr>
        <w:rPr>
          <w:rFonts w:ascii="Times New Roman" w:hAnsi="Times New Roman" w:cs="Times New Roman"/>
          <w:sz w:val="24"/>
          <w:szCs w:val="24"/>
        </w:rPr>
      </w:pPr>
      <w:r>
        <w:rPr>
          <w:rFonts w:ascii="Times New Roman" w:hAnsi="Times New Roman" w:cs="Times New Roman"/>
          <w:sz w:val="24"/>
          <w:szCs w:val="24"/>
        </w:rPr>
        <w:t xml:space="preserve">With relation to this it is firstly important to understand that </w:t>
      </w:r>
      <w:r w:rsidRPr="006138B9">
        <w:rPr>
          <w:rFonts w:ascii="Times New Roman" w:hAnsi="Times New Roman" w:cs="Times New Roman"/>
          <w:color w:val="FF0000"/>
          <w:sz w:val="24"/>
          <w:szCs w:val="24"/>
        </w:rPr>
        <w:t xml:space="preserve">S28 of the Land Use Act </w:t>
      </w:r>
      <w:r>
        <w:rPr>
          <w:rFonts w:ascii="Times New Roman" w:hAnsi="Times New Roman" w:cs="Times New Roman"/>
          <w:sz w:val="24"/>
          <w:szCs w:val="24"/>
        </w:rPr>
        <w:t xml:space="preserve">states that a right of occupancy by the governor for overriding public interest, this power can be exercised both statutorily and in customary settings. However with relation to this law it is important to understand whether the </w:t>
      </w:r>
      <w:r w:rsidR="006138B9">
        <w:rPr>
          <w:rFonts w:ascii="Times New Roman" w:hAnsi="Times New Roman" w:cs="Times New Roman"/>
          <w:sz w:val="24"/>
          <w:szCs w:val="24"/>
        </w:rPr>
        <w:t>action of the governor in this case was</w:t>
      </w:r>
      <w:r>
        <w:rPr>
          <w:rFonts w:ascii="Times New Roman" w:hAnsi="Times New Roman" w:cs="Times New Roman"/>
          <w:sz w:val="24"/>
          <w:szCs w:val="24"/>
        </w:rPr>
        <w:t xml:space="preserve"> appropriate or unlawful. </w:t>
      </w:r>
      <w:r w:rsidR="004A61A7">
        <w:rPr>
          <w:rFonts w:ascii="Times New Roman" w:hAnsi="Times New Roman" w:cs="Times New Roman"/>
          <w:sz w:val="24"/>
          <w:szCs w:val="24"/>
        </w:rPr>
        <w:t xml:space="preserve">S </w:t>
      </w:r>
      <w:r w:rsidRPr="00481314">
        <w:rPr>
          <w:rFonts w:ascii="Times New Roman" w:hAnsi="Times New Roman" w:cs="Times New Roman"/>
          <w:sz w:val="24"/>
          <w:szCs w:val="24"/>
        </w:rPr>
        <w:t>5(2)</w:t>
      </w:r>
      <w:r w:rsidR="004A61A7">
        <w:rPr>
          <w:rFonts w:ascii="Times New Roman" w:hAnsi="Times New Roman" w:cs="Times New Roman"/>
          <w:sz w:val="24"/>
          <w:szCs w:val="24"/>
        </w:rPr>
        <w:t xml:space="preserve"> however</w:t>
      </w:r>
      <w:r w:rsidRPr="00481314">
        <w:rPr>
          <w:rFonts w:ascii="Times New Roman" w:hAnsi="Times New Roman" w:cs="Times New Roman"/>
          <w:sz w:val="24"/>
          <w:szCs w:val="24"/>
        </w:rPr>
        <w:t xml:space="preserve"> extinguishes all hitherto existing rights to the use and occupation of land, which is the subject of statutory right of occupancy.</w:t>
      </w:r>
    </w:p>
    <w:p w:rsidR="004A61A7" w:rsidRPr="004A61A7" w:rsidRDefault="004A61A7" w:rsidP="004A61A7">
      <w:pPr>
        <w:rPr>
          <w:rFonts w:ascii="Times New Roman" w:hAnsi="Times New Roman" w:cs="Times New Roman"/>
          <w:sz w:val="24"/>
          <w:szCs w:val="24"/>
        </w:rPr>
      </w:pPr>
      <w:r>
        <w:rPr>
          <w:rFonts w:ascii="Times New Roman" w:hAnsi="Times New Roman" w:cs="Times New Roman"/>
          <w:sz w:val="24"/>
          <w:szCs w:val="24"/>
        </w:rPr>
        <w:t xml:space="preserve">The act further states under </w:t>
      </w:r>
      <w:r w:rsidRPr="006138B9">
        <w:rPr>
          <w:rFonts w:ascii="Times New Roman" w:hAnsi="Times New Roman" w:cs="Times New Roman"/>
          <w:color w:val="FF0000"/>
          <w:sz w:val="24"/>
          <w:szCs w:val="24"/>
        </w:rPr>
        <w:t xml:space="preserve">S 28(5) </w:t>
      </w:r>
      <w:r>
        <w:rPr>
          <w:rFonts w:ascii="Times New Roman" w:hAnsi="Times New Roman" w:cs="Times New Roman"/>
          <w:sz w:val="24"/>
          <w:szCs w:val="24"/>
        </w:rPr>
        <w:t>that the governor</w:t>
      </w:r>
      <w:r w:rsidRPr="004A61A7">
        <w:rPr>
          <w:rFonts w:ascii="Times New Roman" w:hAnsi="Times New Roman" w:cs="Times New Roman"/>
          <w:sz w:val="24"/>
          <w:szCs w:val="24"/>
        </w:rPr>
        <w:t xml:space="preserve"> may revoke a statutory right </w:t>
      </w:r>
      <w:r>
        <w:rPr>
          <w:rFonts w:ascii="Times New Roman" w:hAnsi="Times New Roman" w:cs="Times New Roman"/>
          <w:sz w:val="24"/>
          <w:szCs w:val="24"/>
        </w:rPr>
        <w:t xml:space="preserve">of occupancy on the ground of: (a) </w:t>
      </w:r>
      <w:r w:rsidRPr="004A61A7">
        <w:rPr>
          <w:rFonts w:ascii="Times New Roman" w:hAnsi="Times New Roman" w:cs="Times New Roman"/>
          <w:sz w:val="24"/>
          <w:szCs w:val="24"/>
        </w:rPr>
        <w:t xml:space="preserve">a breach of any of the provisions which a certificate of occupancy is by </w:t>
      </w:r>
      <w:r w:rsidRPr="006138B9">
        <w:rPr>
          <w:rFonts w:ascii="Times New Roman" w:hAnsi="Times New Roman" w:cs="Times New Roman"/>
          <w:color w:val="FF0000"/>
          <w:sz w:val="24"/>
          <w:szCs w:val="24"/>
        </w:rPr>
        <w:t xml:space="preserve">section 10 </w:t>
      </w:r>
      <w:r w:rsidRPr="004A61A7">
        <w:rPr>
          <w:rFonts w:ascii="Times New Roman" w:hAnsi="Times New Roman" w:cs="Times New Roman"/>
          <w:sz w:val="24"/>
          <w:szCs w:val="24"/>
        </w:rPr>
        <w:t>deemed to contain;</w:t>
      </w:r>
    </w:p>
    <w:p w:rsidR="004A61A7" w:rsidRPr="004A61A7" w:rsidRDefault="004A61A7" w:rsidP="004A61A7">
      <w:pPr>
        <w:rPr>
          <w:rFonts w:ascii="Times New Roman" w:hAnsi="Times New Roman" w:cs="Times New Roman"/>
          <w:sz w:val="24"/>
          <w:szCs w:val="24"/>
        </w:rPr>
      </w:pPr>
      <w:r>
        <w:rPr>
          <w:rFonts w:ascii="Times New Roman" w:hAnsi="Times New Roman" w:cs="Times New Roman"/>
          <w:sz w:val="24"/>
          <w:szCs w:val="24"/>
        </w:rPr>
        <w:t xml:space="preserve">(b) </w:t>
      </w:r>
      <w:r w:rsidR="00231546" w:rsidRPr="004A61A7">
        <w:rPr>
          <w:rFonts w:ascii="Times New Roman" w:hAnsi="Times New Roman" w:cs="Times New Roman"/>
          <w:sz w:val="24"/>
          <w:szCs w:val="24"/>
        </w:rPr>
        <w:t>A</w:t>
      </w:r>
      <w:r w:rsidRPr="004A61A7">
        <w:rPr>
          <w:rFonts w:ascii="Times New Roman" w:hAnsi="Times New Roman" w:cs="Times New Roman"/>
          <w:sz w:val="24"/>
          <w:szCs w:val="24"/>
        </w:rPr>
        <w:t xml:space="preserve"> breach of any term contained in the certificate of occupancy or in any special contract made under section 8;</w:t>
      </w:r>
    </w:p>
    <w:p w:rsidR="004A61A7" w:rsidRPr="006138B9" w:rsidRDefault="004A61A7" w:rsidP="004A61A7">
      <w:pPr>
        <w:rPr>
          <w:rFonts w:ascii="Times New Roman" w:hAnsi="Times New Roman" w:cs="Times New Roman"/>
          <w:color w:val="FF0000"/>
          <w:sz w:val="24"/>
          <w:szCs w:val="24"/>
        </w:rPr>
      </w:pPr>
      <w:r>
        <w:rPr>
          <w:rFonts w:ascii="Times New Roman" w:hAnsi="Times New Roman" w:cs="Times New Roman"/>
          <w:sz w:val="24"/>
          <w:szCs w:val="24"/>
        </w:rPr>
        <w:t xml:space="preserve">(c) </w:t>
      </w:r>
      <w:r w:rsidR="00231546" w:rsidRPr="004A61A7">
        <w:rPr>
          <w:rFonts w:ascii="Times New Roman" w:hAnsi="Times New Roman" w:cs="Times New Roman"/>
          <w:sz w:val="24"/>
          <w:szCs w:val="24"/>
        </w:rPr>
        <w:t>A</w:t>
      </w:r>
      <w:r w:rsidRPr="004A61A7">
        <w:rPr>
          <w:rFonts w:ascii="Times New Roman" w:hAnsi="Times New Roman" w:cs="Times New Roman"/>
          <w:sz w:val="24"/>
          <w:szCs w:val="24"/>
        </w:rPr>
        <w:t xml:space="preserve"> refusal or neglect to accept and pay for a certificate which was issued in evidence of a right of occupancy but has been cancelled by </w:t>
      </w:r>
      <w:r>
        <w:rPr>
          <w:rFonts w:ascii="Times New Roman" w:hAnsi="Times New Roman" w:cs="Times New Roman"/>
          <w:sz w:val="24"/>
          <w:szCs w:val="24"/>
        </w:rPr>
        <w:t xml:space="preserve">the governor under </w:t>
      </w:r>
      <w:r w:rsidRPr="006138B9">
        <w:rPr>
          <w:rFonts w:ascii="Times New Roman" w:hAnsi="Times New Roman" w:cs="Times New Roman"/>
          <w:color w:val="FF0000"/>
          <w:sz w:val="24"/>
          <w:szCs w:val="24"/>
        </w:rPr>
        <w:t>subsection (3) of section 9 of the Act</w:t>
      </w:r>
    </w:p>
    <w:p w:rsidR="004A61A7" w:rsidRPr="006138B9" w:rsidRDefault="004A61A7" w:rsidP="004A61A7">
      <w:pPr>
        <w:rPr>
          <w:rFonts w:ascii="Times New Roman" w:hAnsi="Times New Roman" w:cs="Times New Roman"/>
          <w:color w:val="FF0000"/>
          <w:sz w:val="24"/>
          <w:szCs w:val="24"/>
        </w:rPr>
      </w:pPr>
      <w:r>
        <w:rPr>
          <w:rFonts w:ascii="Times New Roman" w:hAnsi="Times New Roman" w:cs="Times New Roman"/>
          <w:sz w:val="24"/>
          <w:szCs w:val="24"/>
        </w:rPr>
        <w:t>The fact that any exercise of power of revocation for purposes not outlined by S28 of the Act or not carried out in compliance with the provisions of this section will be against the</w:t>
      </w:r>
      <w:r w:rsidR="001B6085">
        <w:rPr>
          <w:rFonts w:ascii="Times New Roman" w:hAnsi="Times New Roman" w:cs="Times New Roman"/>
          <w:sz w:val="24"/>
          <w:szCs w:val="24"/>
        </w:rPr>
        <w:t xml:space="preserve"> Act and will be declared void. </w:t>
      </w:r>
      <w:r w:rsidR="001B6085" w:rsidRPr="006138B9">
        <w:rPr>
          <w:rFonts w:ascii="Times New Roman" w:hAnsi="Times New Roman" w:cs="Times New Roman"/>
          <w:color w:val="FF0000"/>
          <w:sz w:val="24"/>
          <w:szCs w:val="24"/>
        </w:rPr>
        <w:t xml:space="preserve">Bookshops LTD v. Registered trustees of Muslim community in Rivers state &amp; 3ors </w:t>
      </w:r>
      <w:r w:rsidRPr="006138B9">
        <w:rPr>
          <w:rFonts w:ascii="Times New Roman" w:hAnsi="Times New Roman" w:cs="Times New Roman"/>
          <w:color w:val="FF0000"/>
          <w:sz w:val="24"/>
          <w:szCs w:val="24"/>
        </w:rPr>
        <w:t xml:space="preserve"> </w:t>
      </w:r>
    </w:p>
    <w:p w:rsidR="001B6085" w:rsidRDefault="001B6085" w:rsidP="004A61A7">
      <w:pPr>
        <w:rPr>
          <w:rFonts w:ascii="Times New Roman" w:hAnsi="Times New Roman" w:cs="Times New Roman"/>
          <w:sz w:val="24"/>
          <w:szCs w:val="24"/>
        </w:rPr>
      </w:pPr>
      <w:r>
        <w:rPr>
          <w:rFonts w:ascii="Times New Roman" w:hAnsi="Times New Roman" w:cs="Times New Roman"/>
          <w:sz w:val="24"/>
          <w:szCs w:val="24"/>
        </w:rPr>
        <w:t xml:space="preserve">Additionally it is important that whatever notice given for the revocation of statutory Right must have the expressed reason for said revocation. The revocation of rights however for agricultural, industrial or </w:t>
      </w:r>
      <w:r w:rsidR="006138B9">
        <w:rPr>
          <w:rFonts w:ascii="Times New Roman" w:hAnsi="Times New Roman" w:cs="Times New Roman"/>
          <w:sz w:val="24"/>
          <w:szCs w:val="24"/>
        </w:rPr>
        <w:t>economic</w:t>
      </w:r>
      <w:r>
        <w:rPr>
          <w:rFonts w:ascii="Times New Roman" w:hAnsi="Times New Roman" w:cs="Times New Roman"/>
          <w:sz w:val="24"/>
          <w:szCs w:val="24"/>
        </w:rPr>
        <w:t xml:space="preserve"> development will not be seen as overriding public </w:t>
      </w:r>
      <w:r w:rsidR="006138B9">
        <w:rPr>
          <w:rFonts w:ascii="Times New Roman" w:hAnsi="Times New Roman" w:cs="Times New Roman"/>
          <w:sz w:val="24"/>
          <w:szCs w:val="24"/>
        </w:rPr>
        <w:t>interest</w:t>
      </w:r>
      <w:r>
        <w:rPr>
          <w:rFonts w:ascii="Times New Roman" w:hAnsi="Times New Roman" w:cs="Times New Roman"/>
          <w:sz w:val="24"/>
          <w:szCs w:val="24"/>
        </w:rPr>
        <w:t xml:space="preserve"> within the scope of the act’s definition.  The case of The Executors of the Estate of General </w:t>
      </w:r>
      <w:r w:rsidRPr="006138B9">
        <w:rPr>
          <w:rFonts w:ascii="Times New Roman" w:hAnsi="Times New Roman" w:cs="Times New Roman"/>
          <w:color w:val="FF0000"/>
          <w:sz w:val="24"/>
          <w:szCs w:val="24"/>
        </w:rPr>
        <w:t>Sani Abacha</w:t>
      </w:r>
      <w:bookmarkStart w:id="0" w:name="_GoBack"/>
      <w:bookmarkEnd w:id="0"/>
      <w:r w:rsidRPr="006138B9">
        <w:rPr>
          <w:rFonts w:ascii="Times New Roman" w:hAnsi="Times New Roman" w:cs="Times New Roman"/>
          <w:color w:val="FF0000"/>
          <w:sz w:val="24"/>
          <w:szCs w:val="24"/>
        </w:rPr>
        <w:t xml:space="preserve"> v. Samuel David Eke-spiff &amp; 3ors </w:t>
      </w:r>
      <w:r>
        <w:rPr>
          <w:rFonts w:ascii="Times New Roman" w:hAnsi="Times New Roman" w:cs="Times New Roman"/>
          <w:sz w:val="24"/>
          <w:szCs w:val="24"/>
        </w:rPr>
        <w:t xml:space="preserve">held that the reallocation to the General </w:t>
      </w:r>
      <w:r w:rsidR="006138B9">
        <w:rPr>
          <w:rFonts w:ascii="Times New Roman" w:hAnsi="Times New Roman" w:cs="Times New Roman"/>
          <w:sz w:val="24"/>
          <w:szCs w:val="24"/>
        </w:rPr>
        <w:t xml:space="preserve">could not be assimilated to an action taken for overall interest of the public due to the fact that he was just an ordinary citizen. </w:t>
      </w:r>
    </w:p>
    <w:p w:rsidR="006138B9" w:rsidRDefault="006138B9" w:rsidP="004A61A7">
      <w:pPr>
        <w:rPr>
          <w:rFonts w:ascii="Times New Roman" w:hAnsi="Times New Roman" w:cs="Times New Roman"/>
          <w:sz w:val="24"/>
          <w:szCs w:val="24"/>
        </w:rPr>
      </w:pPr>
      <w:r>
        <w:rPr>
          <w:rFonts w:ascii="Times New Roman" w:hAnsi="Times New Roman" w:cs="Times New Roman"/>
          <w:sz w:val="24"/>
          <w:szCs w:val="24"/>
        </w:rPr>
        <w:t>With relation to the painted scenario given the fact that the Executive order of the governor would be seen as less than the provisions of the land use act it is appropriate to say that the actions of the governor was wrong and that Chief Ajah should be adequately compensated.</w:t>
      </w:r>
    </w:p>
    <w:p w:rsidR="006138B9" w:rsidRDefault="006138B9" w:rsidP="004A61A7">
      <w:pPr>
        <w:rPr>
          <w:rFonts w:ascii="Times New Roman" w:hAnsi="Times New Roman" w:cs="Times New Roman"/>
          <w:sz w:val="24"/>
          <w:szCs w:val="24"/>
        </w:rPr>
      </w:pPr>
      <w:r>
        <w:rPr>
          <w:rFonts w:ascii="Times New Roman" w:hAnsi="Times New Roman" w:cs="Times New Roman"/>
          <w:sz w:val="24"/>
          <w:szCs w:val="24"/>
        </w:rPr>
        <w:t xml:space="preserve">When the question of </w:t>
      </w:r>
      <w:r w:rsidR="00231546">
        <w:rPr>
          <w:rFonts w:ascii="Times New Roman" w:hAnsi="Times New Roman" w:cs="Times New Roman"/>
          <w:sz w:val="24"/>
          <w:szCs w:val="24"/>
        </w:rPr>
        <w:t>compensation</w:t>
      </w:r>
      <w:r>
        <w:rPr>
          <w:rFonts w:ascii="Times New Roman" w:hAnsi="Times New Roman" w:cs="Times New Roman"/>
          <w:sz w:val="24"/>
          <w:szCs w:val="24"/>
        </w:rPr>
        <w:t xml:space="preserve"> comes into play it is important to understand that in line with the provisions of </w:t>
      </w:r>
      <w:r w:rsidR="0007770C" w:rsidRPr="0007770C">
        <w:rPr>
          <w:rFonts w:ascii="Times New Roman" w:hAnsi="Times New Roman" w:cs="Times New Roman"/>
          <w:color w:val="FF0000"/>
          <w:sz w:val="24"/>
          <w:szCs w:val="24"/>
        </w:rPr>
        <w:t>S</w:t>
      </w:r>
      <w:r w:rsidRPr="0007770C">
        <w:rPr>
          <w:rFonts w:ascii="Times New Roman" w:hAnsi="Times New Roman" w:cs="Times New Roman"/>
          <w:color w:val="FF0000"/>
          <w:sz w:val="24"/>
          <w:szCs w:val="24"/>
        </w:rPr>
        <w:t xml:space="preserve">44 of the CFRN  </w:t>
      </w:r>
      <w:r>
        <w:rPr>
          <w:rFonts w:ascii="Times New Roman" w:hAnsi="Times New Roman" w:cs="Times New Roman"/>
          <w:sz w:val="24"/>
          <w:szCs w:val="24"/>
        </w:rPr>
        <w:t xml:space="preserve">which states that </w:t>
      </w:r>
      <w:r w:rsidR="0007770C">
        <w:rPr>
          <w:rFonts w:ascii="Times New Roman" w:hAnsi="Times New Roman" w:cs="Times New Roman"/>
          <w:sz w:val="24"/>
          <w:szCs w:val="24"/>
        </w:rPr>
        <w:t>prompt</w:t>
      </w:r>
      <w:r>
        <w:rPr>
          <w:rFonts w:ascii="Times New Roman" w:hAnsi="Times New Roman" w:cs="Times New Roman"/>
          <w:sz w:val="24"/>
          <w:szCs w:val="24"/>
        </w:rPr>
        <w:t xml:space="preserve"> </w:t>
      </w:r>
      <w:r w:rsidR="0007770C">
        <w:rPr>
          <w:rFonts w:ascii="Times New Roman" w:hAnsi="Times New Roman" w:cs="Times New Roman"/>
          <w:sz w:val="24"/>
          <w:szCs w:val="24"/>
        </w:rPr>
        <w:t xml:space="preserve">compensation will be paid along with the prescribed payment stated by the Land use Act. </w:t>
      </w:r>
      <w:r w:rsidR="0007770C" w:rsidRPr="0007770C">
        <w:rPr>
          <w:rFonts w:ascii="Times New Roman" w:hAnsi="Times New Roman" w:cs="Times New Roman"/>
          <w:color w:val="FF0000"/>
          <w:sz w:val="24"/>
          <w:szCs w:val="24"/>
        </w:rPr>
        <w:t>Saude v. Abdulahi</w:t>
      </w:r>
      <w:r w:rsidR="0007770C">
        <w:rPr>
          <w:rFonts w:ascii="Times New Roman" w:hAnsi="Times New Roman" w:cs="Times New Roman"/>
          <w:sz w:val="24"/>
          <w:szCs w:val="24"/>
        </w:rPr>
        <w:t xml:space="preserve">. According to </w:t>
      </w:r>
      <w:r w:rsidR="0007770C" w:rsidRPr="0007770C">
        <w:rPr>
          <w:rFonts w:ascii="Times New Roman" w:hAnsi="Times New Roman" w:cs="Times New Roman"/>
          <w:color w:val="FF0000"/>
          <w:sz w:val="24"/>
          <w:szCs w:val="24"/>
        </w:rPr>
        <w:t>S30</w:t>
      </w:r>
      <w:r w:rsidR="0007770C">
        <w:rPr>
          <w:rFonts w:ascii="Times New Roman" w:hAnsi="Times New Roman" w:cs="Times New Roman"/>
          <w:sz w:val="24"/>
          <w:szCs w:val="24"/>
        </w:rPr>
        <w:t xml:space="preserve"> of the act </w:t>
      </w:r>
      <w:r w:rsidR="0007770C" w:rsidRPr="0007770C">
        <w:rPr>
          <w:rFonts w:ascii="Times New Roman" w:hAnsi="Times New Roman" w:cs="Times New Roman"/>
          <w:sz w:val="24"/>
          <w:szCs w:val="24"/>
        </w:rPr>
        <w:t>where there arises any dispute as to the amoun</w:t>
      </w:r>
      <w:r w:rsidR="0007770C">
        <w:rPr>
          <w:rFonts w:ascii="Times New Roman" w:hAnsi="Times New Roman" w:cs="Times New Roman"/>
          <w:sz w:val="24"/>
          <w:szCs w:val="24"/>
        </w:rPr>
        <w:t xml:space="preserve">t of compensation calculated in </w:t>
      </w:r>
      <w:r w:rsidR="0007770C" w:rsidRPr="0007770C">
        <w:rPr>
          <w:rFonts w:ascii="Times New Roman" w:hAnsi="Times New Roman" w:cs="Times New Roman"/>
          <w:sz w:val="24"/>
          <w:szCs w:val="24"/>
        </w:rPr>
        <w:lastRenderedPageBreak/>
        <w:t>accordance with the provisions of section 29, such dispute shall be referred to the appropriate Land Use and Allocation Committee.</w:t>
      </w:r>
    </w:p>
    <w:p w:rsidR="00AA1457" w:rsidRPr="00CA7882" w:rsidRDefault="00AA1457" w:rsidP="004A61A7">
      <w:pPr>
        <w:rPr>
          <w:rFonts w:ascii="Times New Roman" w:hAnsi="Times New Roman" w:cs="Times New Roman"/>
          <w:sz w:val="24"/>
          <w:szCs w:val="24"/>
        </w:rPr>
      </w:pPr>
      <w:r>
        <w:rPr>
          <w:rFonts w:ascii="Times New Roman" w:hAnsi="Times New Roman" w:cs="Times New Roman"/>
          <w:sz w:val="24"/>
          <w:szCs w:val="24"/>
        </w:rPr>
        <w:t xml:space="preserve">In conclusion the fact that the actions of the governor was not in line with the </w:t>
      </w:r>
      <w:r w:rsidRPr="00AA1457">
        <w:rPr>
          <w:rFonts w:ascii="Times New Roman" w:hAnsi="Times New Roman" w:cs="Times New Roman"/>
          <w:sz w:val="24"/>
          <w:szCs w:val="24"/>
        </w:rPr>
        <w:t>Quarantine Law</w:t>
      </w:r>
      <w:r>
        <w:rPr>
          <w:rFonts w:ascii="Times New Roman" w:hAnsi="Times New Roman" w:cs="Times New Roman"/>
          <w:sz w:val="24"/>
          <w:szCs w:val="24"/>
        </w:rPr>
        <w:t xml:space="preserve"> in this case it is safe to say that the claimant should receive compensation for his loss.</w:t>
      </w:r>
    </w:p>
    <w:sectPr w:rsidR="00AA1457" w:rsidRPr="00CA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82"/>
    <w:rsid w:val="0007770C"/>
    <w:rsid w:val="001B6085"/>
    <w:rsid w:val="00231546"/>
    <w:rsid w:val="002E3A63"/>
    <w:rsid w:val="00481314"/>
    <w:rsid w:val="004A61A7"/>
    <w:rsid w:val="004B0A02"/>
    <w:rsid w:val="006138B9"/>
    <w:rsid w:val="00AA1457"/>
    <w:rsid w:val="00CA7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Moyinoluwa</dc:creator>
  <cp:lastModifiedBy>Ayeni  Moyinoluwa</cp:lastModifiedBy>
  <cp:revision>3</cp:revision>
  <dcterms:created xsi:type="dcterms:W3CDTF">2020-05-15T08:43:00Z</dcterms:created>
  <dcterms:modified xsi:type="dcterms:W3CDTF">2020-05-15T10:03:00Z</dcterms:modified>
</cp:coreProperties>
</file>