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F99" w:rsidRDefault="0020563E">
      <w:pPr>
        <w:rPr>
          <w:rFonts w:ascii="Times New Roman" w:hAnsi="Times New Roman" w:cs="Times New Roman"/>
        </w:rPr>
      </w:pPr>
      <w:r>
        <w:rPr>
          <w:rFonts w:ascii="Times New Roman" w:hAnsi="Times New Roman" w:cs="Times New Roman"/>
        </w:rPr>
        <w:t>NAME; OKON EDIDIONG JOSEPH</w:t>
      </w:r>
    </w:p>
    <w:p w:rsidR="0020563E" w:rsidRDefault="0020563E">
      <w:pPr>
        <w:rPr>
          <w:rFonts w:ascii="Times New Roman" w:hAnsi="Times New Roman" w:cs="Times New Roman"/>
        </w:rPr>
      </w:pPr>
      <w:r>
        <w:rPr>
          <w:rFonts w:ascii="Times New Roman" w:hAnsi="Times New Roman" w:cs="Times New Roman"/>
        </w:rPr>
        <w:t>MATRIC NO; 16/LAW01/161</w:t>
      </w:r>
    </w:p>
    <w:p w:rsidR="0020563E" w:rsidRDefault="0020563E">
      <w:pPr>
        <w:rPr>
          <w:rFonts w:ascii="Times New Roman" w:hAnsi="Times New Roman" w:cs="Times New Roman"/>
        </w:rPr>
      </w:pPr>
      <w:r>
        <w:rPr>
          <w:rFonts w:ascii="Times New Roman" w:hAnsi="Times New Roman" w:cs="Times New Roman"/>
        </w:rPr>
        <w:t>LEVEL; 400</w:t>
      </w:r>
    </w:p>
    <w:p w:rsidR="0020563E" w:rsidRDefault="0020563E">
      <w:pPr>
        <w:rPr>
          <w:rFonts w:ascii="Times New Roman" w:hAnsi="Times New Roman" w:cs="Times New Roman"/>
        </w:rPr>
      </w:pPr>
      <w:r>
        <w:rPr>
          <w:rFonts w:ascii="Times New Roman" w:hAnsi="Times New Roman" w:cs="Times New Roman"/>
        </w:rPr>
        <w:t>COURSE; LAND LAW</w:t>
      </w:r>
    </w:p>
    <w:p w:rsidR="0020563E" w:rsidRDefault="0020563E">
      <w:pPr>
        <w:rPr>
          <w:rFonts w:ascii="Times New Roman" w:hAnsi="Times New Roman" w:cs="Times New Roman"/>
        </w:rPr>
      </w:pPr>
      <w:r>
        <w:rPr>
          <w:rFonts w:ascii="Times New Roman" w:hAnsi="Times New Roman" w:cs="Times New Roman"/>
        </w:rPr>
        <w:t>DATE; 15</w:t>
      </w:r>
      <w:r w:rsidRPr="0020563E">
        <w:rPr>
          <w:rFonts w:ascii="Times New Roman" w:hAnsi="Times New Roman" w:cs="Times New Roman"/>
          <w:vertAlign w:val="superscript"/>
        </w:rPr>
        <w:t>TH</w:t>
      </w:r>
      <w:r>
        <w:rPr>
          <w:rFonts w:ascii="Times New Roman" w:hAnsi="Times New Roman" w:cs="Times New Roman"/>
        </w:rPr>
        <w:t xml:space="preserve"> MAY 2020.</w:t>
      </w:r>
    </w:p>
    <w:p w:rsidR="00717B6E" w:rsidRDefault="00717B6E">
      <w:pPr>
        <w:rPr>
          <w:rFonts w:ascii="Times New Roman" w:hAnsi="Times New Roman" w:cs="Times New Roman"/>
        </w:rPr>
      </w:pPr>
    </w:p>
    <w:p w:rsidR="00521621" w:rsidRDefault="00521621">
      <w:pPr>
        <w:rPr>
          <w:rFonts w:ascii="Times New Roman" w:hAnsi="Times New Roman" w:cs="Times New Roman"/>
          <w:b/>
          <w:u w:val="single"/>
        </w:rPr>
      </w:pPr>
      <w:r w:rsidRPr="00717B6E">
        <w:rPr>
          <w:rFonts w:ascii="Times New Roman" w:hAnsi="Times New Roman" w:cs="Times New Roman"/>
          <w:b/>
          <w:u w:val="single"/>
        </w:rPr>
        <w:t>ANSWER</w:t>
      </w:r>
    </w:p>
    <w:p w:rsidR="00717B6E" w:rsidRDefault="00717B6E">
      <w:pPr>
        <w:rPr>
          <w:rFonts w:ascii="Times New Roman" w:hAnsi="Times New Roman" w:cs="Times New Roman"/>
        </w:rPr>
      </w:pPr>
      <w:r>
        <w:rPr>
          <w:rFonts w:ascii="Times New Roman" w:hAnsi="Times New Roman" w:cs="Times New Roman"/>
        </w:rPr>
        <w:t xml:space="preserve">The first legal issue in the determination of this question is whether the Governor of </w:t>
      </w:r>
      <w:proofErr w:type="spellStart"/>
      <w:r>
        <w:rPr>
          <w:rFonts w:ascii="Times New Roman" w:hAnsi="Times New Roman" w:cs="Times New Roman"/>
        </w:rPr>
        <w:t>Kuzuland</w:t>
      </w:r>
      <w:proofErr w:type="spellEnd"/>
      <w:r>
        <w:rPr>
          <w:rFonts w:ascii="Times New Roman" w:hAnsi="Times New Roman" w:cs="Times New Roman"/>
        </w:rPr>
        <w:t xml:space="preserve"> has the power to revoke the statutory right of occupancy given to Chief </w:t>
      </w:r>
      <w:proofErr w:type="spellStart"/>
      <w:r>
        <w:rPr>
          <w:rFonts w:ascii="Times New Roman" w:hAnsi="Times New Roman" w:cs="Times New Roman"/>
        </w:rPr>
        <w:t>Ajah</w:t>
      </w:r>
      <w:proofErr w:type="spellEnd"/>
      <w:r>
        <w:rPr>
          <w:rFonts w:ascii="Times New Roman" w:hAnsi="Times New Roman" w:cs="Times New Roman"/>
        </w:rPr>
        <w:t xml:space="preserve"> the owner of Tarzan hotels.</w:t>
      </w:r>
    </w:p>
    <w:p w:rsidR="00717B6E" w:rsidRDefault="00717B6E">
      <w:pPr>
        <w:rPr>
          <w:rFonts w:ascii="Times New Roman" w:hAnsi="Times New Roman" w:cs="Times New Roman"/>
        </w:rPr>
      </w:pPr>
      <w:r>
        <w:rPr>
          <w:rFonts w:ascii="Times New Roman" w:hAnsi="Times New Roman" w:cs="Times New Roman"/>
        </w:rPr>
        <w:t>The second legal issue</w:t>
      </w:r>
      <w:r w:rsidR="0060133D">
        <w:rPr>
          <w:rFonts w:ascii="Times New Roman" w:hAnsi="Times New Roman" w:cs="Times New Roman"/>
        </w:rPr>
        <w:t xml:space="preserve"> is whether </w:t>
      </w:r>
      <w:proofErr w:type="spellStart"/>
      <w:r w:rsidR="0060133D">
        <w:rPr>
          <w:rFonts w:ascii="Times New Roman" w:hAnsi="Times New Roman" w:cs="Times New Roman"/>
        </w:rPr>
        <w:t>Mr</w:t>
      </w:r>
      <w:proofErr w:type="spellEnd"/>
      <w:r w:rsidR="0060133D">
        <w:rPr>
          <w:rFonts w:ascii="Times New Roman" w:hAnsi="Times New Roman" w:cs="Times New Roman"/>
        </w:rPr>
        <w:t xml:space="preserve"> </w:t>
      </w:r>
      <w:proofErr w:type="spellStart"/>
      <w:r w:rsidR="0060133D">
        <w:rPr>
          <w:rFonts w:ascii="Times New Roman" w:hAnsi="Times New Roman" w:cs="Times New Roman"/>
        </w:rPr>
        <w:t>Ajah</w:t>
      </w:r>
      <w:proofErr w:type="spellEnd"/>
      <w:r w:rsidR="0060133D">
        <w:rPr>
          <w:rFonts w:ascii="Times New Roman" w:hAnsi="Times New Roman" w:cs="Times New Roman"/>
        </w:rPr>
        <w:t xml:space="preserve"> </w:t>
      </w:r>
      <w:proofErr w:type="gramStart"/>
      <w:r w:rsidR="0060133D">
        <w:rPr>
          <w:rFonts w:ascii="Times New Roman" w:hAnsi="Times New Roman" w:cs="Times New Roman"/>
        </w:rPr>
        <w:t>can</w:t>
      </w:r>
      <w:proofErr w:type="gramEnd"/>
      <w:r w:rsidR="0060133D">
        <w:rPr>
          <w:rFonts w:ascii="Times New Roman" w:hAnsi="Times New Roman" w:cs="Times New Roman"/>
        </w:rPr>
        <w:t xml:space="preserve"> </w:t>
      </w:r>
      <w:proofErr w:type="spellStart"/>
      <w:r w:rsidR="0060133D">
        <w:rPr>
          <w:rFonts w:ascii="Times New Roman" w:hAnsi="Times New Roman" w:cs="Times New Roman"/>
        </w:rPr>
        <w:t>suceed</w:t>
      </w:r>
      <w:proofErr w:type="spellEnd"/>
      <w:r w:rsidR="0060133D">
        <w:rPr>
          <w:rFonts w:ascii="Times New Roman" w:hAnsi="Times New Roman" w:cs="Times New Roman"/>
        </w:rPr>
        <w:t xml:space="preserve"> in his action against the Governor.</w:t>
      </w:r>
    </w:p>
    <w:p w:rsidR="00717B6E" w:rsidRDefault="00717B6E">
      <w:pPr>
        <w:rPr>
          <w:rFonts w:ascii="Times New Roman" w:hAnsi="Times New Roman" w:cs="Times New Roman"/>
        </w:rPr>
      </w:pPr>
      <w:r>
        <w:rPr>
          <w:rFonts w:ascii="Times New Roman" w:hAnsi="Times New Roman" w:cs="Times New Roman"/>
        </w:rPr>
        <w:t xml:space="preserve">  The first legal issue will be answered in the affirmative. Revocation of right of occupancy is the right of the Governor to withdraw the Right of occupancy of a person. Before a right of occupancy can be revoked, there are three conditions to be considered.</w:t>
      </w:r>
    </w:p>
    <w:p w:rsidR="00717B6E" w:rsidRDefault="00717B6E" w:rsidP="00717B6E">
      <w:pPr>
        <w:pStyle w:val="ListParagraph"/>
        <w:numPr>
          <w:ilvl w:val="0"/>
          <w:numId w:val="1"/>
        </w:numPr>
        <w:rPr>
          <w:rFonts w:ascii="Times New Roman" w:hAnsi="Times New Roman" w:cs="Times New Roman"/>
        </w:rPr>
      </w:pPr>
      <w:r>
        <w:rPr>
          <w:rFonts w:ascii="Times New Roman" w:hAnsi="Times New Roman" w:cs="Times New Roman"/>
        </w:rPr>
        <w:t>There must be a purpose</w:t>
      </w:r>
    </w:p>
    <w:p w:rsidR="00717B6E" w:rsidRDefault="00717B6E" w:rsidP="00717B6E">
      <w:pPr>
        <w:pStyle w:val="ListParagraph"/>
        <w:numPr>
          <w:ilvl w:val="0"/>
          <w:numId w:val="1"/>
        </w:numPr>
        <w:rPr>
          <w:rFonts w:ascii="Times New Roman" w:hAnsi="Times New Roman" w:cs="Times New Roman"/>
        </w:rPr>
      </w:pPr>
      <w:r>
        <w:rPr>
          <w:rFonts w:ascii="Times New Roman" w:hAnsi="Times New Roman" w:cs="Times New Roman"/>
        </w:rPr>
        <w:t>There must be a valid notice</w:t>
      </w:r>
    </w:p>
    <w:p w:rsidR="00717B6E" w:rsidRDefault="00717B6E" w:rsidP="00717B6E">
      <w:pPr>
        <w:pStyle w:val="ListParagraph"/>
        <w:numPr>
          <w:ilvl w:val="0"/>
          <w:numId w:val="1"/>
        </w:numPr>
        <w:rPr>
          <w:rFonts w:ascii="Times New Roman" w:hAnsi="Times New Roman" w:cs="Times New Roman"/>
        </w:rPr>
      </w:pPr>
      <w:r>
        <w:rPr>
          <w:rFonts w:ascii="Times New Roman" w:hAnsi="Times New Roman" w:cs="Times New Roman"/>
        </w:rPr>
        <w:t xml:space="preserve">There must be adequate compensation </w:t>
      </w:r>
    </w:p>
    <w:p w:rsidR="00717B6E" w:rsidRDefault="00620D85" w:rsidP="00717B6E">
      <w:pPr>
        <w:pStyle w:val="ListParagraph"/>
        <w:rPr>
          <w:rFonts w:ascii="Times New Roman" w:hAnsi="Times New Roman" w:cs="Times New Roman"/>
        </w:rPr>
      </w:pPr>
      <w:r>
        <w:rPr>
          <w:rFonts w:ascii="Times New Roman" w:hAnsi="Times New Roman" w:cs="Times New Roman"/>
        </w:rPr>
        <w:t xml:space="preserve">                          </w:t>
      </w:r>
      <w:r w:rsidR="0060133D">
        <w:rPr>
          <w:rFonts w:ascii="Times New Roman" w:hAnsi="Times New Roman" w:cs="Times New Roman"/>
        </w:rPr>
        <w:t>In considering the purpose, we will examine Section 28(5) overriding public interest provides that the Governor may revoke a statutory right of occupancy on the ground of</w:t>
      </w:r>
    </w:p>
    <w:p w:rsidR="0060133D" w:rsidRDefault="0060133D" w:rsidP="0060133D">
      <w:pPr>
        <w:pStyle w:val="ListParagraph"/>
        <w:numPr>
          <w:ilvl w:val="0"/>
          <w:numId w:val="2"/>
        </w:numPr>
        <w:rPr>
          <w:rFonts w:ascii="Times New Roman" w:hAnsi="Times New Roman" w:cs="Times New Roman"/>
        </w:rPr>
      </w:pPr>
      <w:r>
        <w:rPr>
          <w:rFonts w:ascii="Times New Roman" w:hAnsi="Times New Roman" w:cs="Times New Roman"/>
        </w:rPr>
        <w:t>A breach of any of the provisions which a certificate of occupancy is by Section 10 deemed to contain</w:t>
      </w:r>
    </w:p>
    <w:p w:rsidR="0060133D" w:rsidRDefault="0060133D" w:rsidP="0060133D">
      <w:pPr>
        <w:pStyle w:val="ListParagraph"/>
        <w:numPr>
          <w:ilvl w:val="0"/>
          <w:numId w:val="2"/>
        </w:numPr>
        <w:rPr>
          <w:rFonts w:ascii="Times New Roman" w:hAnsi="Times New Roman" w:cs="Times New Roman"/>
        </w:rPr>
      </w:pPr>
      <w:r>
        <w:rPr>
          <w:rFonts w:ascii="Times New Roman" w:hAnsi="Times New Roman" w:cs="Times New Roman"/>
        </w:rPr>
        <w:t>Breach of any term contained in the certificate of occupancy or in any special contract-Section 8.</w:t>
      </w:r>
    </w:p>
    <w:p w:rsidR="0060133D" w:rsidRDefault="00620D85" w:rsidP="0060133D">
      <w:pPr>
        <w:pStyle w:val="ListParagraph"/>
        <w:ind w:left="1080"/>
        <w:rPr>
          <w:rFonts w:ascii="Times New Roman" w:hAnsi="Times New Roman" w:cs="Times New Roman"/>
        </w:rPr>
      </w:pPr>
      <w:r>
        <w:rPr>
          <w:rFonts w:ascii="Times New Roman" w:hAnsi="Times New Roman" w:cs="Times New Roman"/>
        </w:rPr>
        <w:t xml:space="preserve">           </w:t>
      </w:r>
      <w:r w:rsidR="0060133D">
        <w:rPr>
          <w:rFonts w:ascii="Times New Roman" w:hAnsi="Times New Roman" w:cs="Times New Roman"/>
        </w:rPr>
        <w:t>In considering notice,</w:t>
      </w:r>
      <w:r w:rsidR="00375DB8">
        <w:rPr>
          <w:rFonts w:ascii="Times New Roman" w:hAnsi="Times New Roman" w:cs="Times New Roman"/>
        </w:rPr>
        <w:t xml:space="preserve"> the purpose of giving notice of revocation of a right of occupancy is to duly inform the holder thereof of the steps being taken to extinguish his or her right of occupancy. Service of notice of revocation of right of occupancy is very crucial. By virtue of section 28(6) of the act, a notice of revocation of a right of occupancy must be given to the holder. By section 44(a) and c of the act, any notice required to be served on any person shall be effectively served on him or her either by delivering it to the person to the person on whom is to be served or by leaving it at the usual or last known place of abode of that person.</w:t>
      </w:r>
      <w:r w:rsidR="00C30708">
        <w:rPr>
          <w:rFonts w:ascii="Times New Roman" w:hAnsi="Times New Roman" w:cs="Times New Roman"/>
        </w:rPr>
        <w:t xml:space="preserve"> A publication in the </w:t>
      </w:r>
      <w:proofErr w:type="spellStart"/>
      <w:r w:rsidR="00C30708">
        <w:rPr>
          <w:rFonts w:ascii="Times New Roman" w:hAnsi="Times New Roman" w:cs="Times New Roman"/>
        </w:rPr>
        <w:t>gaz</w:t>
      </w:r>
      <w:r w:rsidR="00375DB8">
        <w:rPr>
          <w:rFonts w:ascii="Times New Roman" w:hAnsi="Times New Roman" w:cs="Times New Roman"/>
        </w:rPr>
        <w:t>atte</w:t>
      </w:r>
      <w:proofErr w:type="spellEnd"/>
      <w:r w:rsidR="00375DB8">
        <w:rPr>
          <w:rFonts w:ascii="Times New Roman" w:hAnsi="Times New Roman" w:cs="Times New Roman"/>
        </w:rPr>
        <w:t xml:space="preserve"> of a notice of revocation without a personal </w:t>
      </w:r>
      <w:proofErr w:type="spellStart"/>
      <w:r w:rsidR="00375DB8">
        <w:rPr>
          <w:rFonts w:ascii="Times New Roman" w:hAnsi="Times New Roman" w:cs="Times New Roman"/>
        </w:rPr>
        <w:t>servive</w:t>
      </w:r>
      <w:proofErr w:type="spellEnd"/>
      <w:r w:rsidR="00375DB8">
        <w:rPr>
          <w:rFonts w:ascii="Times New Roman" w:hAnsi="Times New Roman" w:cs="Times New Roman"/>
        </w:rPr>
        <w:t xml:space="preserve"> on the same on the person</w:t>
      </w:r>
      <w:r>
        <w:rPr>
          <w:rFonts w:ascii="Times New Roman" w:hAnsi="Times New Roman" w:cs="Times New Roman"/>
        </w:rPr>
        <w:t xml:space="preserve"> concerned does not make the revocation valid. See S.O </w:t>
      </w:r>
      <w:proofErr w:type="spellStart"/>
      <w:r>
        <w:rPr>
          <w:rFonts w:ascii="Times New Roman" w:hAnsi="Times New Roman" w:cs="Times New Roman"/>
        </w:rPr>
        <w:t>Adole</w:t>
      </w:r>
      <w:proofErr w:type="spellEnd"/>
      <w:r>
        <w:rPr>
          <w:rFonts w:ascii="Times New Roman" w:hAnsi="Times New Roman" w:cs="Times New Roman"/>
        </w:rPr>
        <w:t xml:space="preserve"> v Boniface B </w:t>
      </w:r>
      <w:proofErr w:type="spellStart"/>
      <w:r>
        <w:rPr>
          <w:rFonts w:ascii="Times New Roman" w:hAnsi="Times New Roman" w:cs="Times New Roman"/>
        </w:rPr>
        <w:t>Gwar</w:t>
      </w:r>
      <w:proofErr w:type="spellEnd"/>
      <w:r>
        <w:rPr>
          <w:rFonts w:ascii="Times New Roman" w:hAnsi="Times New Roman" w:cs="Times New Roman"/>
        </w:rPr>
        <w:t>. It is important to note that without a valid notice, the purported revocation of the right of occupancy will be ineffectual. In this case,</w:t>
      </w:r>
      <w:r w:rsidR="00C30708">
        <w:rPr>
          <w:rFonts w:ascii="Times New Roman" w:hAnsi="Times New Roman" w:cs="Times New Roman"/>
        </w:rPr>
        <w:t xml:space="preserve"> </w:t>
      </w:r>
      <w:r>
        <w:rPr>
          <w:rFonts w:ascii="Times New Roman" w:hAnsi="Times New Roman" w:cs="Times New Roman"/>
        </w:rPr>
        <w:t xml:space="preserve">although the Governor clearly stated that any public place in defiance of the order will be demolished, he didn’t give </w:t>
      </w:r>
      <w:proofErr w:type="spellStart"/>
      <w:r>
        <w:rPr>
          <w:rFonts w:ascii="Times New Roman" w:hAnsi="Times New Roman" w:cs="Times New Roman"/>
        </w:rPr>
        <w:t>Mr</w:t>
      </w:r>
      <w:proofErr w:type="spellEnd"/>
      <w:r>
        <w:rPr>
          <w:rFonts w:ascii="Times New Roman" w:hAnsi="Times New Roman" w:cs="Times New Roman"/>
        </w:rPr>
        <w:t xml:space="preserve"> </w:t>
      </w:r>
      <w:proofErr w:type="spellStart"/>
      <w:r>
        <w:rPr>
          <w:rFonts w:ascii="Times New Roman" w:hAnsi="Times New Roman" w:cs="Times New Roman"/>
        </w:rPr>
        <w:t>Ajah</w:t>
      </w:r>
      <w:proofErr w:type="spellEnd"/>
      <w:r>
        <w:rPr>
          <w:rFonts w:ascii="Times New Roman" w:hAnsi="Times New Roman" w:cs="Times New Roman"/>
        </w:rPr>
        <w:t xml:space="preserve"> a valid notice. Also see </w:t>
      </w:r>
      <w:proofErr w:type="spellStart"/>
      <w:r>
        <w:rPr>
          <w:rFonts w:ascii="Times New Roman" w:hAnsi="Times New Roman" w:cs="Times New Roman"/>
        </w:rPr>
        <w:t>Onunuju</w:t>
      </w:r>
      <w:proofErr w:type="spellEnd"/>
      <w:r>
        <w:rPr>
          <w:rFonts w:ascii="Times New Roman" w:hAnsi="Times New Roman" w:cs="Times New Roman"/>
        </w:rPr>
        <w:t xml:space="preserve"> v AG </w:t>
      </w:r>
      <w:proofErr w:type="spellStart"/>
      <w:r>
        <w:rPr>
          <w:rFonts w:ascii="Times New Roman" w:hAnsi="Times New Roman" w:cs="Times New Roman"/>
        </w:rPr>
        <w:t>Anambra</w:t>
      </w:r>
      <w:proofErr w:type="spellEnd"/>
      <w:r>
        <w:rPr>
          <w:rFonts w:ascii="Times New Roman" w:hAnsi="Times New Roman" w:cs="Times New Roman"/>
        </w:rPr>
        <w:t xml:space="preserve"> State. In Obi v Minister FCT, it was held that the service of notice on the holder is a condition precedent to the validity of the revocation.</w:t>
      </w:r>
    </w:p>
    <w:p w:rsidR="00620D85" w:rsidRDefault="00620D85" w:rsidP="0060133D">
      <w:pPr>
        <w:pStyle w:val="ListParagraph"/>
        <w:ind w:left="1080"/>
        <w:rPr>
          <w:rFonts w:ascii="Times New Roman" w:hAnsi="Times New Roman" w:cs="Times New Roman"/>
        </w:rPr>
      </w:pPr>
      <w:r>
        <w:rPr>
          <w:rFonts w:ascii="Times New Roman" w:hAnsi="Times New Roman" w:cs="Times New Roman"/>
        </w:rPr>
        <w:lastRenderedPageBreak/>
        <w:t xml:space="preserve">      In considering compensation, SCTION 29(1) provides that if </w:t>
      </w:r>
      <w:r w:rsidR="00C30708">
        <w:rPr>
          <w:rFonts w:ascii="Times New Roman" w:hAnsi="Times New Roman" w:cs="Times New Roman"/>
        </w:rPr>
        <w:t>a right of occupancy is revoked</w:t>
      </w:r>
      <w:r>
        <w:rPr>
          <w:rFonts w:ascii="Times New Roman" w:hAnsi="Times New Roman" w:cs="Times New Roman"/>
        </w:rPr>
        <w:t xml:space="preserve"> for the causes set out in </w:t>
      </w:r>
      <w:proofErr w:type="spellStart"/>
      <w:r>
        <w:rPr>
          <w:rFonts w:ascii="Times New Roman" w:hAnsi="Times New Roman" w:cs="Times New Roman"/>
        </w:rPr>
        <w:t>paragragh</w:t>
      </w:r>
      <w:proofErr w:type="spellEnd"/>
      <w:r>
        <w:rPr>
          <w:rFonts w:ascii="Times New Roman" w:hAnsi="Times New Roman" w:cs="Times New Roman"/>
        </w:rPr>
        <w:t xml:space="preserve"> b subsection 2 of section 28, the holder of and the occupier shall be entitled to compensation for the value at the date of revocation</w:t>
      </w:r>
      <w:r w:rsidR="00C30708">
        <w:rPr>
          <w:rFonts w:ascii="Times New Roman" w:hAnsi="Times New Roman" w:cs="Times New Roman"/>
        </w:rPr>
        <w:t>. See Horn v Sunderland.</w:t>
      </w:r>
    </w:p>
    <w:p w:rsidR="00F119F8" w:rsidRPr="00F119F8" w:rsidRDefault="00C30708" w:rsidP="00F119F8">
      <w:pPr>
        <w:pStyle w:val="ListParagraph"/>
        <w:ind w:left="1080"/>
        <w:rPr>
          <w:rFonts w:ascii="Times New Roman" w:hAnsi="Times New Roman" w:cs="Times New Roman"/>
        </w:rPr>
      </w:pPr>
      <w:r>
        <w:rPr>
          <w:rFonts w:ascii="Times New Roman" w:hAnsi="Times New Roman" w:cs="Times New Roman"/>
        </w:rPr>
        <w:t xml:space="preserve">       The second issue will</w:t>
      </w:r>
      <w:r w:rsidR="00F119F8">
        <w:rPr>
          <w:rFonts w:ascii="Times New Roman" w:hAnsi="Times New Roman" w:cs="Times New Roman"/>
        </w:rPr>
        <w:t xml:space="preserve"> be answered in the </w:t>
      </w:r>
      <w:proofErr w:type="spellStart"/>
      <w:r w:rsidR="00F119F8">
        <w:rPr>
          <w:rFonts w:ascii="Times New Roman" w:hAnsi="Times New Roman" w:cs="Times New Roman"/>
        </w:rPr>
        <w:t>affirmative.</w:t>
      </w:r>
      <w:r w:rsidR="00F119F8" w:rsidRPr="00F119F8">
        <w:rPr>
          <w:rFonts w:ascii="Times New Roman" w:hAnsi="Times New Roman" w:cs="Times New Roman"/>
        </w:rPr>
        <w:t>he</w:t>
      </w:r>
      <w:proofErr w:type="spellEnd"/>
      <w:r w:rsidR="00F119F8" w:rsidRPr="00F119F8">
        <w:rPr>
          <w:rFonts w:ascii="Times New Roman" w:hAnsi="Times New Roman" w:cs="Times New Roman"/>
        </w:rPr>
        <w:t xml:space="preserve"> can sue the Governor because an executive order is not a legislation and it is </w:t>
      </w:r>
      <w:proofErr w:type="spellStart"/>
      <w:r w:rsidR="00F119F8" w:rsidRPr="00F119F8">
        <w:rPr>
          <w:rFonts w:ascii="Times New Roman" w:hAnsi="Times New Roman" w:cs="Times New Roman"/>
        </w:rPr>
        <w:t>amere</w:t>
      </w:r>
      <w:proofErr w:type="spellEnd"/>
      <w:r w:rsidR="00F119F8" w:rsidRPr="00F119F8">
        <w:rPr>
          <w:rFonts w:ascii="Times New Roman" w:hAnsi="Times New Roman" w:cs="Times New Roman"/>
        </w:rPr>
        <w:t xml:space="preserve"> directory and it has to work in line with the Land Use Act and the 1999 CONSTITUTION. The Governor was wrong in his action. </w:t>
      </w:r>
      <w:r w:rsidR="00F119F8" w:rsidRPr="00F119F8">
        <w:rPr>
          <w:rFonts w:ascii="Times New Roman" w:hAnsi="Times New Roman" w:cs="Times New Roman"/>
        </w:rPr>
        <w:t xml:space="preserve">. Chief </w:t>
      </w:r>
      <w:proofErr w:type="spellStart"/>
      <w:r w:rsidR="00F119F8" w:rsidRPr="00F119F8">
        <w:rPr>
          <w:rFonts w:ascii="Times New Roman" w:hAnsi="Times New Roman" w:cs="Times New Roman"/>
        </w:rPr>
        <w:t>Ajah</w:t>
      </w:r>
      <w:proofErr w:type="spellEnd"/>
      <w:r w:rsidR="00F119F8" w:rsidRPr="00F119F8">
        <w:rPr>
          <w:rFonts w:ascii="Times New Roman" w:hAnsi="Times New Roman" w:cs="Times New Roman"/>
        </w:rPr>
        <w:t xml:space="preserve"> can succeed in his action because a valid notice wasn’t served and he can be duly compensated.</w:t>
      </w:r>
      <w:bookmarkStart w:id="0" w:name="_GoBack"/>
      <w:bookmarkEnd w:id="0"/>
    </w:p>
    <w:p w:rsidR="00717B6E" w:rsidRPr="00717B6E" w:rsidRDefault="00717B6E">
      <w:pPr>
        <w:rPr>
          <w:rFonts w:ascii="Times New Roman" w:hAnsi="Times New Roman" w:cs="Times New Roman"/>
        </w:rPr>
      </w:pPr>
    </w:p>
    <w:sectPr w:rsidR="00717B6E" w:rsidRPr="00717B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6F0"/>
    <w:multiLevelType w:val="hybridMultilevel"/>
    <w:tmpl w:val="91A29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48295C"/>
    <w:multiLevelType w:val="hybridMultilevel"/>
    <w:tmpl w:val="67C69EBE"/>
    <w:lvl w:ilvl="0" w:tplc="FEE65F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63E"/>
    <w:rsid w:val="00126F99"/>
    <w:rsid w:val="0020563E"/>
    <w:rsid w:val="00375DB8"/>
    <w:rsid w:val="00521621"/>
    <w:rsid w:val="0060133D"/>
    <w:rsid w:val="00620D85"/>
    <w:rsid w:val="00717B6E"/>
    <w:rsid w:val="00C30708"/>
    <w:rsid w:val="00F11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B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B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2020-05-15T15:17:00Z</dcterms:created>
  <dcterms:modified xsi:type="dcterms:W3CDTF">2020-05-15T18:07:00Z</dcterms:modified>
</cp:coreProperties>
</file>