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C3" w:rsidRDefault="002B2AC3">
      <w:pPr>
        <w:rPr>
          <w:rFonts w:ascii="Times New Roman" w:hAnsi="Times New Roman" w:cs="Times New Roman"/>
          <w:sz w:val="24"/>
        </w:rPr>
      </w:pPr>
      <w:r>
        <w:rPr>
          <w:rFonts w:ascii="Times New Roman" w:hAnsi="Times New Roman" w:cs="Times New Roman"/>
          <w:sz w:val="24"/>
        </w:rPr>
        <w:t>NAME: OLUWADARE TESTIMONY</w:t>
      </w:r>
    </w:p>
    <w:p w:rsidR="00B55897" w:rsidRDefault="00801F2F">
      <w:pPr>
        <w:rPr>
          <w:rFonts w:ascii="Times New Roman" w:hAnsi="Times New Roman" w:cs="Times New Roman"/>
          <w:sz w:val="24"/>
        </w:rPr>
      </w:pPr>
      <w:r>
        <w:rPr>
          <w:rFonts w:ascii="Times New Roman" w:hAnsi="Times New Roman" w:cs="Times New Roman"/>
          <w:sz w:val="24"/>
        </w:rPr>
        <w:t>MATRIC NO: 16/LAW01/173</w:t>
      </w:r>
    </w:p>
    <w:p w:rsidR="001059AF" w:rsidRDefault="001059AF">
      <w:pPr>
        <w:rPr>
          <w:rFonts w:ascii="Times New Roman" w:hAnsi="Times New Roman" w:cs="Times New Roman"/>
          <w:sz w:val="24"/>
        </w:rPr>
      </w:pPr>
    </w:p>
    <w:p w:rsidR="000D7576" w:rsidRDefault="000D7576">
      <w:pPr>
        <w:rPr>
          <w:rFonts w:ascii="Times New Roman" w:hAnsi="Times New Roman" w:cs="Times New Roman"/>
          <w:sz w:val="24"/>
        </w:rPr>
      </w:pPr>
      <w:r>
        <w:rPr>
          <w:rFonts w:ascii="Times New Roman" w:hAnsi="Times New Roman" w:cs="Times New Roman"/>
          <w:sz w:val="24"/>
        </w:rPr>
        <w:t>ISSUE</w:t>
      </w:r>
    </w:p>
    <w:p w:rsidR="000D7576" w:rsidRDefault="000D7576">
      <w:pPr>
        <w:rPr>
          <w:rFonts w:ascii="Times New Roman" w:hAnsi="Times New Roman" w:cs="Times New Roman"/>
          <w:sz w:val="24"/>
        </w:rPr>
      </w:pPr>
      <w:r>
        <w:rPr>
          <w:rFonts w:ascii="Times New Roman" w:hAnsi="Times New Roman" w:cs="Times New Roman"/>
          <w:sz w:val="24"/>
        </w:rPr>
        <w:t>The legal issue for consideration is whether the Governor’s action of dem</w:t>
      </w:r>
      <w:r w:rsidR="002F62EE">
        <w:rPr>
          <w:rFonts w:ascii="Times New Roman" w:hAnsi="Times New Roman" w:cs="Times New Roman"/>
          <w:sz w:val="24"/>
        </w:rPr>
        <w:t xml:space="preserve">olishing the hotel was unconstitutional </w:t>
      </w:r>
    </w:p>
    <w:p w:rsidR="00952D16" w:rsidRDefault="00952D16">
      <w:pPr>
        <w:rPr>
          <w:rFonts w:ascii="Times New Roman" w:hAnsi="Times New Roman" w:cs="Times New Roman"/>
          <w:sz w:val="24"/>
        </w:rPr>
      </w:pPr>
      <w:r>
        <w:rPr>
          <w:rFonts w:ascii="Times New Roman" w:hAnsi="Times New Roman" w:cs="Times New Roman"/>
          <w:sz w:val="24"/>
        </w:rPr>
        <w:t>INTRODUCTION</w:t>
      </w:r>
    </w:p>
    <w:p w:rsidR="006254B7" w:rsidRDefault="006254B7">
      <w:pPr>
        <w:rPr>
          <w:rFonts w:ascii="Times New Roman" w:hAnsi="Times New Roman" w:cs="Times New Roman"/>
          <w:sz w:val="24"/>
        </w:rPr>
      </w:pPr>
      <w:r>
        <w:rPr>
          <w:rFonts w:ascii="Times New Roman" w:hAnsi="Times New Roman" w:cs="Times New Roman"/>
          <w:sz w:val="24"/>
        </w:rPr>
        <w:t xml:space="preserve">Prior to the Land Use Act, the land tenures system that existed in Nigeria was not uniform. </w:t>
      </w:r>
      <w:r w:rsidR="001403B2">
        <w:rPr>
          <w:rFonts w:ascii="Times New Roman" w:hAnsi="Times New Roman" w:cs="Times New Roman"/>
          <w:sz w:val="24"/>
        </w:rPr>
        <w:t xml:space="preserve">In the Southern part, customary land tenure system existed where land belonged to the entire community, chiefs and sometimes individuals who had acquired such communal lands. In the North, the </w:t>
      </w:r>
      <w:r w:rsidR="001403B2" w:rsidRPr="001403B2">
        <w:rPr>
          <w:rFonts w:ascii="Times New Roman" w:hAnsi="Times New Roman" w:cs="Times New Roman"/>
          <w:b/>
          <w:sz w:val="24"/>
        </w:rPr>
        <w:t>Land Tenure Law of 1962</w:t>
      </w:r>
      <w:r w:rsidR="001403B2">
        <w:rPr>
          <w:rFonts w:ascii="Times New Roman" w:hAnsi="Times New Roman" w:cs="Times New Roman"/>
          <w:sz w:val="24"/>
        </w:rPr>
        <w:t xml:space="preserve"> governed the administration of land. </w:t>
      </w:r>
      <w:r w:rsidR="002823D5">
        <w:rPr>
          <w:rFonts w:ascii="Times New Roman" w:hAnsi="Times New Roman" w:cs="Times New Roman"/>
          <w:sz w:val="24"/>
        </w:rPr>
        <w:t xml:space="preserve">Under the Land Tenure Law, land belonged to the state government who held such land in trust for the people. </w:t>
      </w:r>
      <w:r w:rsidR="006434DD">
        <w:rPr>
          <w:rFonts w:ascii="Times New Roman" w:hAnsi="Times New Roman" w:cs="Times New Roman"/>
          <w:sz w:val="24"/>
        </w:rPr>
        <w:t xml:space="preserve">The best any individual could possess with respect to land was a right of occupancy which could either be statutory or customary. </w:t>
      </w:r>
    </w:p>
    <w:p w:rsidR="000D7576" w:rsidRDefault="000D7576">
      <w:pPr>
        <w:rPr>
          <w:rFonts w:ascii="Times New Roman" w:hAnsi="Times New Roman" w:cs="Times New Roman"/>
          <w:sz w:val="24"/>
        </w:rPr>
      </w:pPr>
      <w:r w:rsidRPr="000D7576">
        <w:rPr>
          <w:rFonts w:ascii="Times New Roman" w:hAnsi="Times New Roman" w:cs="Times New Roman"/>
          <w:b/>
          <w:sz w:val="24"/>
        </w:rPr>
        <w:t>The Land Use Act</w:t>
      </w:r>
      <w:r>
        <w:rPr>
          <w:rFonts w:ascii="Times New Roman" w:hAnsi="Times New Roman" w:cs="Times New Roman"/>
          <w:sz w:val="24"/>
        </w:rPr>
        <w:t xml:space="preserve"> vested all land in the Federal government or is agencies (solely in the Governor of the state) who would hold such land in trust for the people and would henceforth be responsible for the allocation</w:t>
      </w:r>
      <w:r w:rsidR="0032378A">
        <w:rPr>
          <w:rFonts w:ascii="Times New Roman" w:hAnsi="Times New Roman" w:cs="Times New Roman"/>
          <w:sz w:val="24"/>
        </w:rPr>
        <w:t xml:space="preserve"> of land in all urban areas to individual resident in the stat</w:t>
      </w:r>
      <w:r>
        <w:rPr>
          <w:rFonts w:ascii="Times New Roman" w:hAnsi="Times New Roman" w:cs="Times New Roman"/>
          <w:sz w:val="24"/>
        </w:rPr>
        <w:t xml:space="preserve">e and </w:t>
      </w:r>
      <w:r w:rsidR="00351FB1">
        <w:rPr>
          <w:rFonts w:ascii="Times New Roman" w:hAnsi="Times New Roman" w:cs="Times New Roman"/>
          <w:sz w:val="24"/>
        </w:rPr>
        <w:t>to organization for residential</w:t>
      </w:r>
      <w:r>
        <w:rPr>
          <w:rFonts w:ascii="Times New Roman" w:hAnsi="Times New Roman" w:cs="Times New Roman"/>
          <w:sz w:val="24"/>
        </w:rPr>
        <w:t>, agricultu</w:t>
      </w:r>
      <w:r w:rsidR="00351FB1">
        <w:rPr>
          <w:rFonts w:ascii="Times New Roman" w:hAnsi="Times New Roman" w:cs="Times New Roman"/>
          <w:sz w:val="24"/>
        </w:rPr>
        <w:t>ral</w:t>
      </w:r>
      <w:r w:rsidR="0032378A">
        <w:rPr>
          <w:rFonts w:ascii="Times New Roman" w:hAnsi="Times New Roman" w:cs="Times New Roman"/>
          <w:sz w:val="24"/>
        </w:rPr>
        <w:t>, commercial and other purpo</w:t>
      </w:r>
      <w:r>
        <w:rPr>
          <w:rFonts w:ascii="Times New Roman" w:hAnsi="Times New Roman" w:cs="Times New Roman"/>
          <w:sz w:val="24"/>
        </w:rPr>
        <w:t>ses while sim</w:t>
      </w:r>
      <w:r w:rsidR="003F1A5C">
        <w:rPr>
          <w:rFonts w:ascii="Times New Roman" w:hAnsi="Times New Roman" w:cs="Times New Roman"/>
          <w:sz w:val="24"/>
        </w:rPr>
        <w:t>ilar powers with respect to non-</w:t>
      </w:r>
      <w:r>
        <w:rPr>
          <w:rFonts w:ascii="Times New Roman" w:hAnsi="Times New Roman" w:cs="Times New Roman"/>
          <w:sz w:val="24"/>
        </w:rPr>
        <w:t xml:space="preserve">urban areas are conferred on the Local Government. This is the essence of the Act. </w:t>
      </w:r>
      <w:r w:rsidR="003F1A5C" w:rsidRPr="00351FB1">
        <w:rPr>
          <w:rFonts w:ascii="Times New Roman" w:hAnsi="Times New Roman" w:cs="Times New Roman"/>
          <w:b/>
          <w:sz w:val="24"/>
        </w:rPr>
        <w:t>Section 1 of the Land Use Act</w:t>
      </w:r>
      <w:r w:rsidR="003F1A5C">
        <w:rPr>
          <w:rFonts w:ascii="Times New Roman" w:hAnsi="Times New Roman" w:cs="Times New Roman"/>
          <w:sz w:val="24"/>
        </w:rPr>
        <w:t xml:space="preserve"> </w:t>
      </w:r>
      <w:r w:rsidR="00405C0E">
        <w:rPr>
          <w:rFonts w:ascii="Times New Roman" w:hAnsi="Times New Roman" w:cs="Times New Roman"/>
          <w:sz w:val="24"/>
        </w:rPr>
        <w:t>vests all land comprised in the territo</w:t>
      </w:r>
      <w:r w:rsidR="0032378A">
        <w:rPr>
          <w:rFonts w:ascii="Times New Roman" w:hAnsi="Times New Roman" w:cs="Times New Roman"/>
          <w:sz w:val="24"/>
        </w:rPr>
        <w:t>ry of each state in the state G</w:t>
      </w:r>
      <w:r w:rsidR="00405C0E">
        <w:rPr>
          <w:rFonts w:ascii="Times New Roman" w:hAnsi="Times New Roman" w:cs="Times New Roman"/>
          <w:sz w:val="24"/>
        </w:rPr>
        <w:t xml:space="preserve">overnor who shall hold it in trust and administer same for the use and common benefit of all Nigerians in accordance </w:t>
      </w:r>
      <w:r w:rsidR="00786937">
        <w:rPr>
          <w:rFonts w:ascii="Times New Roman" w:hAnsi="Times New Roman" w:cs="Times New Roman"/>
          <w:sz w:val="24"/>
        </w:rPr>
        <w:t>with the provi</w:t>
      </w:r>
      <w:r w:rsidR="00405C0E">
        <w:rPr>
          <w:rFonts w:ascii="Times New Roman" w:hAnsi="Times New Roman" w:cs="Times New Roman"/>
          <w:sz w:val="24"/>
        </w:rPr>
        <w:t>sions of the Act. The Act nationalizes the ownership of l</w:t>
      </w:r>
      <w:r w:rsidR="00351FB1">
        <w:rPr>
          <w:rFonts w:ascii="Times New Roman" w:hAnsi="Times New Roman" w:cs="Times New Roman"/>
          <w:sz w:val="24"/>
        </w:rPr>
        <w:t>a</w:t>
      </w:r>
      <w:r w:rsidR="00405C0E">
        <w:rPr>
          <w:rFonts w:ascii="Times New Roman" w:hAnsi="Times New Roman" w:cs="Times New Roman"/>
          <w:sz w:val="24"/>
        </w:rPr>
        <w:t xml:space="preserve">nd. It creates a trust for the benefit of all Nigerian citizens who are the beneficiaries and the governor is the trustee. Hence, the Governor only has nominal ownership of the land. </w:t>
      </w:r>
    </w:p>
    <w:p w:rsidR="008527E8" w:rsidRDefault="008527E8">
      <w:pPr>
        <w:rPr>
          <w:rFonts w:ascii="Times New Roman" w:hAnsi="Times New Roman" w:cs="Times New Roman"/>
          <w:sz w:val="24"/>
        </w:rPr>
      </w:pPr>
      <w:r>
        <w:rPr>
          <w:rFonts w:ascii="Times New Roman" w:hAnsi="Times New Roman" w:cs="Times New Roman"/>
          <w:sz w:val="24"/>
        </w:rPr>
        <w:t>Where a right of occupancy is stated to be revoked for public purpose, there is a need to spell it out in the notice of revocation</w:t>
      </w:r>
    </w:p>
    <w:p w:rsidR="000D089E" w:rsidRDefault="008527E8">
      <w:pPr>
        <w:rPr>
          <w:rFonts w:ascii="Times New Roman" w:hAnsi="Times New Roman" w:cs="Times New Roman"/>
          <w:sz w:val="24"/>
        </w:rPr>
      </w:pPr>
      <w:r>
        <w:rPr>
          <w:rFonts w:ascii="Times New Roman" w:hAnsi="Times New Roman" w:cs="Times New Roman"/>
          <w:sz w:val="24"/>
        </w:rPr>
        <w:t>PRINCIPLE</w:t>
      </w:r>
    </w:p>
    <w:p w:rsidR="000D089E" w:rsidRDefault="000D089E">
      <w:pPr>
        <w:rPr>
          <w:rFonts w:ascii="Times New Roman" w:hAnsi="Times New Roman" w:cs="Times New Roman"/>
          <w:sz w:val="24"/>
        </w:rPr>
      </w:pPr>
      <w:r>
        <w:rPr>
          <w:rFonts w:ascii="Times New Roman" w:hAnsi="Times New Roman" w:cs="Times New Roman"/>
          <w:sz w:val="24"/>
        </w:rPr>
        <w:t>Although the Governor has the right to administer land to the people, he also has the right to revoke rights of occupancy. The Governor is empow</w:t>
      </w:r>
      <w:r w:rsidR="00351FB1">
        <w:rPr>
          <w:rFonts w:ascii="Times New Roman" w:hAnsi="Times New Roman" w:cs="Times New Roman"/>
          <w:sz w:val="24"/>
        </w:rPr>
        <w:t>e</w:t>
      </w:r>
      <w:r>
        <w:rPr>
          <w:rFonts w:ascii="Times New Roman" w:hAnsi="Times New Roman" w:cs="Times New Roman"/>
          <w:sz w:val="24"/>
        </w:rPr>
        <w:t xml:space="preserve">red to revoke rights of occupancy for overriding public interests. </w:t>
      </w:r>
      <w:r w:rsidR="003F4746">
        <w:rPr>
          <w:rFonts w:ascii="Times New Roman" w:hAnsi="Times New Roman" w:cs="Times New Roman"/>
          <w:sz w:val="24"/>
        </w:rPr>
        <w:t xml:space="preserve">This </w:t>
      </w:r>
      <w:r w:rsidR="00351FB1">
        <w:rPr>
          <w:rFonts w:ascii="Times New Roman" w:hAnsi="Times New Roman" w:cs="Times New Roman"/>
          <w:sz w:val="24"/>
        </w:rPr>
        <w:t>power is exerci</w:t>
      </w:r>
      <w:r w:rsidR="003F4746">
        <w:rPr>
          <w:rFonts w:ascii="Times New Roman" w:hAnsi="Times New Roman" w:cs="Times New Roman"/>
          <w:sz w:val="24"/>
        </w:rPr>
        <w:t>sable in respect of either Statutory right of occupancy or customary right of occup</w:t>
      </w:r>
      <w:r w:rsidR="00351FB1">
        <w:rPr>
          <w:rFonts w:ascii="Times New Roman" w:hAnsi="Times New Roman" w:cs="Times New Roman"/>
          <w:sz w:val="24"/>
        </w:rPr>
        <w:t>anc</w:t>
      </w:r>
      <w:r w:rsidR="003F4746">
        <w:rPr>
          <w:rFonts w:ascii="Times New Roman" w:hAnsi="Times New Roman" w:cs="Times New Roman"/>
          <w:sz w:val="24"/>
        </w:rPr>
        <w:t xml:space="preserve">y. </w:t>
      </w:r>
      <w:r>
        <w:rPr>
          <w:rFonts w:ascii="Times New Roman" w:hAnsi="Times New Roman" w:cs="Times New Roman"/>
          <w:sz w:val="24"/>
        </w:rPr>
        <w:t xml:space="preserve">This provided for in </w:t>
      </w:r>
      <w:r w:rsidRPr="00351FB1">
        <w:rPr>
          <w:rFonts w:ascii="Times New Roman" w:hAnsi="Times New Roman" w:cs="Times New Roman"/>
          <w:b/>
          <w:sz w:val="24"/>
        </w:rPr>
        <w:t>Section 28(1) of the Land Use Act</w:t>
      </w:r>
      <w:r>
        <w:rPr>
          <w:rFonts w:ascii="Times New Roman" w:hAnsi="Times New Roman" w:cs="Times New Roman"/>
          <w:sz w:val="24"/>
        </w:rPr>
        <w:t>.  In the case of a statutory right of occ</w:t>
      </w:r>
      <w:r w:rsidR="00351FB1">
        <w:rPr>
          <w:rFonts w:ascii="Times New Roman" w:hAnsi="Times New Roman" w:cs="Times New Roman"/>
          <w:sz w:val="24"/>
        </w:rPr>
        <w:t>upanc</w:t>
      </w:r>
      <w:r>
        <w:rPr>
          <w:rFonts w:ascii="Times New Roman" w:hAnsi="Times New Roman" w:cs="Times New Roman"/>
          <w:sz w:val="24"/>
        </w:rPr>
        <w:t xml:space="preserve">y, this refers to </w:t>
      </w:r>
    </w:p>
    <w:p w:rsidR="000D089E" w:rsidRDefault="000D089E" w:rsidP="000D089E">
      <w:pPr>
        <w:pStyle w:val="ListParagraph"/>
        <w:numPr>
          <w:ilvl w:val="0"/>
          <w:numId w:val="1"/>
        </w:numPr>
        <w:rPr>
          <w:rFonts w:ascii="Times New Roman" w:hAnsi="Times New Roman" w:cs="Times New Roman"/>
          <w:sz w:val="24"/>
        </w:rPr>
      </w:pPr>
      <w:r>
        <w:rPr>
          <w:rFonts w:ascii="Times New Roman" w:hAnsi="Times New Roman" w:cs="Times New Roman"/>
          <w:sz w:val="24"/>
        </w:rPr>
        <w:t>Alienation of interests in land in contravention of the Land Use Act or any regulations made thereunder.</w:t>
      </w:r>
    </w:p>
    <w:p w:rsidR="000D089E" w:rsidRDefault="00351FB1" w:rsidP="000D089E">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Requirement </w:t>
      </w:r>
      <w:r w:rsidR="000D089E">
        <w:rPr>
          <w:rFonts w:ascii="Times New Roman" w:hAnsi="Times New Roman" w:cs="Times New Roman"/>
          <w:sz w:val="24"/>
        </w:rPr>
        <w:t>of the land by local, state or Federal government for public purposes</w:t>
      </w:r>
    </w:p>
    <w:p w:rsidR="000D089E" w:rsidRPr="00351FB1" w:rsidRDefault="000D089E" w:rsidP="000D089E">
      <w:pPr>
        <w:pStyle w:val="ListParagraph"/>
        <w:numPr>
          <w:ilvl w:val="0"/>
          <w:numId w:val="1"/>
        </w:numPr>
        <w:spacing w:before="240"/>
        <w:rPr>
          <w:rFonts w:ascii="Times New Roman" w:hAnsi="Times New Roman" w:cs="Times New Roman"/>
          <w:b/>
          <w:sz w:val="24"/>
        </w:rPr>
      </w:pPr>
      <w:r>
        <w:rPr>
          <w:rFonts w:ascii="Times New Roman" w:hAnsi="Times New Roman" w:cs="Times New Roman"/>
          <w:sz w:val="24"/>
        </w:rPr>
        <w:t>R</w:t>
      </w:r>
      <w:r w:rsidR="00351FB1">
        <w:rPr>
          <w:rFonts w:ascii="Times New Roman" w:hAnsi="Times New Roman" w:cs="Times New Roman"/>
          <w:sz w:val="24"/>
        </w:rPr>
        <w:t>eq</w:t>
      </w:r>
      <w:r>
        <w:rPr>
          <w:rFonts w:ascii="Times New Roman" w:hAnsi="Times New Roman" w:cs="Times New Roman"/>
          <w:sz w:val="24"/>
        </w:rPr>
        <w:t xml:space="preserve">uirement of the land for mining purposes or oil pipelines or any purpose connected therewith </w:t>
      </w:r>
      <w:r w:rsidRPr="00351FB1">
        <w:rPr>
          <w:rFonts w:ascii="Times New Roman" w:hAnsi="Times New Roman" w:cs="Times New Roman"/>
          <w:b/>
          <w:sz w:val="24"/>
        </w:rPr>
        <w:t xml:space="preserve">(Section 28(2) of the Land Use Act) </w:t>
      </w:r>
    </w:p>
    <w:p w:rsidR="00990110" w:rsidRDefault="00A3158A">
      <w:pPr>
        <w:rPr>
          <w:rFonts w:ascii="Times New Roman" w:hAnsi="Times New Roman" w:cs="Times New Roman"/>
          <w:sz w:val="24"/>
        </w:rPr>
      </w:pPr>
      <w:r>
        <w:rPr>
          <w:rFonts w:ascii="Times New Roman" w:hAnsi="Times New Roman" w:cs="Times New Roman"/>
          <w:sz w:val="24"/>
        </w:rPr>
        <w:lastRenderedPageBreak/>
        <w:t>Notice of Revocation</w:t>
      </w:r>
    </w:p>
    <w:p w:rsidR="00A3158A" w:rsidRDefault="00E80F87">
      <w:pPr>
        <w:rPr>
          <w:rFonts w:ascii="Times New Roman" w:hAnsi="Times New Roman" w:cs="Times New Roman"/>
          <w:sz w:val="24"/>
        </w:rPr>
      </w:pPr>
      <w:r>
        <w:rPr>
          <w:rFonts w:ascii="Times New Roman" w:hAnsi="Times New Roman" w:cs="Times New Roman"/>
          <w:sz w:val="24"/>
        </w:rPr>
        <w:t xml:space="preserve">Any </w:t>
      </w:r>
      <w:r w:rsidR="00A3158A">
        <w:rPr>
          <w:rFonts w:ascii="Times New Roman" w:hAnsi="Times New Roman" w:cs="Times New Roman"/>
          <w:sz w:val="24"/>
        </w:rPr>
        <w:t>revocation shall be signified under the hand of a public officer duly authorized in that behalf by the Governor and the holder must be notified (Sec</w:t>
      </w:r>
      <w:r w:rsidR="00351FB1">
        <w:rPr>
          <w:rFonts w:ascii="Times New Roman" w:hAnsi="Times New Roman" w:cs="Times New Roman"/>
          <w:sz w:val="24"/>
        </w:rPr>
        <w:t>tion 28(6) of the Land Use Act). T</w:t>
      </w:r>
      <w:r w:rsidR="00E808D7">
        <w:rPr>
          <w:rFonts w:ascii="Times New Roman" w:hAnsi="Times New Roman" w:cs="Times New Roman"/>
          <w:sz w:val="24"/>
        </w:rPr>
        <w:t>he notice must state the reason for the revocation. In L</w:t>
      </w:r>
      <w:r w:rsidR="00351FB1">
        <w:rPr>
          <w:rFonts w:ascii="Times New Roman" w:hAnsi="Times New Roman" w:cs="Times New Roman"/>
          <w:sz w:val="24"/>
        </w:rPr>
        <w:t>a</w:t>
      </w:r>
      <w:r w:rsidR="00E808D7">
        <w:rPr>
          <w:rFonts w:ascii="Times New Roman" w:hAnsi="Times New Roman" w:cs="Times New Roman"/>
          <w:sz w:val="24"/>
        </w:rPr>
        <w:t xml:space="preserve">gos State Development Property Corporation V. Foreign Finance Corporation, it was held that the notice of revocation must be personal to the holder irrespective of whether the land is developed or undeveloped. </w:t>
      </w:r>
      <w:r w:rsidR="00E3732C">
        <w:rPr>
          <w:rFonts w:ascii="Times New Roman" w:hAnsi="Times New Roman" w:cs="Times New Roman"/>
          <w:sz w:val="24"/>
        </w:rPr>
        <w:t>Hence, it cannot be substituted by a general notice published in a gazette or newspaper. A publication</w:t>
      </w:r>
      <w:r w:rsidR="00351FB1">
        <w:rPr>
          <w:rFonts w:ascii="Times New Roman" w:hAnsi="Times New Roman" w:cs="Times New Roman"/>
          <w:sz w:val="24"/>
        </w:rPr>
        <w:t xml:space="preserve"> </w:t>
      </w:r>
      <w:r w:rsidR="00E3732C">
        <w:rPr>
          <w:rFonts w:ascii="Times New Roman" w:hAnsi="Times New Roman" w:cs="Times New Roman"/>
          <w:sz w:val="24"/>
        </w:rPr>
        <w:t>of such acquisition can only follow after a personal notice has been given to the holder. The mode of service as stipu</w:t>
      </w:r>
      <w:r w:rsidR="00351FB1">
        <w:rPr>
          <w:rFonts w:ascii="Times New Roman" w:hAnsi="Times New Roman" w:cs="Times New Roman"/>
          <w:sz w:val="24"/>
        </w:rPr>
        <w:t>lated in Section 44 of the Lan</w:t>
      </w:r>
      <w:r w:rsidR="00E3732C">
        <w:rPr>
          <w:rFonts w:ascii="Times New Roman" w:hAnsi="Times New Roman" w:cs="Times New Roman"/>
          <w:sz w:val="24"/>
        </w:rPr>
        <w:t xml:space="preserve">d Use Act must also be complied with otherwise, the notice shall be void. In </w:t>
      </w:r>
      <w:r w:rsidR="00E3732C" w:rsidRPr="00351FB1">
        <w:rPr>
          <w:rFonts w:ascii="Times New Roman" w:hAnsi="Times New Roman" w:cs="Times New Roman"/>
          <w:b/>
          <w:sz w:val="24"/>
        </w:rPr>
        <w:t>S.O Adole v. Boniface B. Gwar</w:t>
      </w:r>
      <w:r w:rsidR="00E3732C">
        <w:rPr>
          <w:rFonts w:ascii="Times New Roman" w:hAnsi="Times New Roman" w:cs="Times New Roman"/>
          <w:sz w:val="24"/>
        </w:rPr>
        <w:t>, the supreme court held t</w:t>
      </w:r>
      <w:r w:rsidR="00351FB1">
        <w:rPr>
          <w:rFonts w:ascii="Times New Roman" w:hAnsi="Times New Roman" w:cs="Times New Roman"/>
          <w:sz w:val="24"/>
        </w:rPr>
        <w:t>hat notice of revocation of tit</w:t>
      </w:r>
      <w:r w:rsidR="00E3732C">
        <w:rPr>
          <w:rFonts w:ascii="Times New Roman" w:hAnsi="Times New Roman" w:cs="Times New Roman"/>
          <w:sz w:val="24"/>
        </w:rPr>
        <w:t>e and service of such n</w:t>
      </w:r>
      <w:r w:rsidR="00351FB1">
        <w:rPr>
          <w:rFonts w:ascii="Times New Roman" w:hAnsi="Times New Roman" w:cs="Times New Roman"/>
          <w:sz w:val="24"/>
        </w:rPr>
        <w:t>otice to the holder are two man</w:t>
      </w:r>
      <w:r w:rsidR="00E3732C">
        <w:rPr>
          <w:rFonts w:ascii="Times New Roman" w:hAnsi="Times New Roman" w:cs="Times New Roman"/>
          <w:sz w:val="24"/>
        </w:rPr>
        <w:t>datory re</w:t>
      </w:r>
      <w:r w:rsidR="00351FB1">
        <w:rPr>
          <w:rFonts w:ascii="Times New Roman" w:hAnsi="Times New Roman" w:cs="Times New Roman"/>
          <w:sz w:val="24"/>
        </w:rPr>
        <w:t>q</w:t>
      </w:r>
      <w:r w:rsidR="00E3732C">
        <w:rPr>
          <w:rFonts w:ascii="Times New Roman" w:hAnsi="Times New Roman" w:cs="Times New Roman"/>
          <w:sz w:val="24"/>
        </w:rPr>
        <w:t xml:space="preserve">uirements that have to be strictly complied with where a title to a piece of land is revoked. </w:t>
      </w:r>
      <w:r w:rsidR="00F2402C">
        <w:rPr>
          <w:rFonts w:ascii="Times New Roman" w:hAnsi="Times New Roman" w:cs="Times New Roman"/>
          <w:sz w:val="24"/>
        </w:rPr>
        <w:t xml:space="preserve">Also, </w:t>
      </w:r>
      <w:r w:rsidR="00F2402C" w:rsidRPr="00351FB1">
        <w:rPr>
          <w:rFonts w:ascii="Times New Roman" w:hAnsi="Times New Roman" w:cs="Times New Roman"/>
          <w:b/>
          <w:sz w:val="24"/>
        </w:rPr>
        <w:t>in Goldmark Nigeria Ltd v. Ibafon Co. Ltd</w:t>
      </w:r>
      <w:r w:rsidR="00F2402C">
        <w:rPr>
          <w:rFonts w:ascii="Times New Roman" w:hAnsi="Times New Roman" w:cs="Times New Roman"/>
          <w:sz w:val="24"/>
        </w:rPr>
        <w:t xml:space="preserve">, the Supreme Court further emphasized that publication in the gazette does not constitute sufficient notice. There must be personal service on the person. </w:t>
      </w:r>
    </w:p>
    <w:p w:rsidR="008527E8" w:rsidRDefault="008527E8">
      <w:pPr>
        <w:rPr>
          <w:rFonts w:ascii="Times New Roman" w:hAnsi="Times New Roman" w:cs="Times New Roman"/>
          <w:sz w:val="24"/>
        </w:rPr>
      </w:pPr>
      <w:r>
        <w:rPr>
          <w:rFonts w:ascii="Times New Roman" w:hAnsi="Times New Roman" w:cs="Times New Roman"/>
          <w:sz w:val="24"/>
        </w:rPr>
        <w:t>APPLICATION</w:t>
      </w:r>
    </w:p>
    <w:p w:rsidR="008527E8" w:rsidRDefault="008527E8">
      <w:pPr>
        <w:rPr>
          <w:rFonts w:ascii="Times New Roman" w:hAnsi="Times New Roman" w:cs="Times New Roman"/>
          <w:sz w:val="24"/>
        </w:rPr>
      </w:pPr>
      <w:r>
        <w:rPr>
          <w:rFonts w:ascii="Times New Roman" w:hAnsi="Times New Roman" w:cs="Times New Roman"/>
          <w:sz w:val="24"/>
        </w:rPr>
        <w:t xml:space="preserve">From the scenario given, </w:t>
      </w:r>
      <w:r w:rsidR="002D14DF">
        <w:rPr>
          <w:rFonts w:ascii="Times New Roman" w:hAnsi="Times New Roman" w:cs="Times New Roman"/>
          <w:sz w:val="24"/>
        </w:rPr>
        <w:t xml:space="preserve">in accordance to Quarantine law, an executive order was made to </w:t>
      </w:r>
      <w:r w:rsidR="003E0351">
        <w:rPr>
          <w:rFonts w:ascii="Times New Roman" w:hAnsi="Times New Roman" w:cs="Times New Roman"/>
          <w:sz w:val="24"/>
        </w:rPr>
        <w:t xml:space="preserve">close down all public places and </w:t>
      </w:r>
      <w:r w:rsidR="002D14DF">
        <w:rPr>
          <w:rFonts w:ascii="Times New Roman" w:hAnsi="Times New Roman" w:cs="Times New Roman"/>
          <w:sz w:val="24"/>
        </w:rPr>
        <w:t xml:space="preserve">demolish any public place that continues business. </w:t>
      </w:r>
      <w:r w:rsidR="00731040">
        <w:rPr>
          <w:rFonts w:ascii="Times New Roman" w:hAnsi="Times New Roman" w:cs="Times New Roman"/>
          <w:sz w:val="24"/>
        </w:rPr>
        <w:t>This is a measure put up to curtail the outbreak of COVID-19</w:t>
      </w:r>
      <w:r w:rsidR="00921DDB">
        <w:rPr>
          <w:rFonts w:ascii="Times New Roman" w:hAnsi="Times New Roman" w:cs="Times New Roman"/>
          <w:sz w:val="24"/>
        </w:rPr>
        <w:t xml:space="preserve"> pandemic.</w:t>
      </w:r>
    </w:p>
    <w:p w:rsidR="00E80F87" w:rsidRDefault="00E80F87">
      <w:pPr>
        <w:rPr>
          <w:rFonts w:ascii="Times New Roman" w:hAnsi="Times New Roman" w:cs="Times New Roman"/>
          <w:sz w:val="24"/>
        </w:rPr>
      </w:pPr>
      <w:r>
        <w:rPr>
          <w:rFonts w:ascii="Times New Roman" w:hAnsi="Times New Roman" w:cs="Times New Roman"/>
          <w:sz w:val="24"/>
        </w:rPr>
        <w:t>In accordance with Section 28(6) of the Land Use Act, a</w:t>
      </w:r>
      <w:r>
        <w:rPr>
          <w:rFonts w:ascii="Times New Roman" w:hAnsi="Times New Roman" w:cs="Times New Roman"/>
          <w:sz w:val="24"/>
        </w:rPr>
        <w:t>ny revocation shall be signified under the hand of a public officer duly authorized in that behalf by the Governor and the holder must be notified</w:t>
      </w:r>
      <w:r>
        <w:rPr>
          <w:rFonts w:ascii="Times New Roman" w:hAnsi="Times New Roman" w:cs="Times New Roman"/>
          <w:sz w:val="24"/>
        </w:rPr>
        <w:t>. Also, in Ononuju v. AG of  Anambra State, the notice was published in the gazette instead of be</w:t>
      </w:r>
      <w:r w:rsidR="00351FB1">
        <w:rPr>
          <w:rFonts w:ascii="Times New Roman" w:hAnsi="Times New Roman" w:cs="Times New Roman"/>
          <w:sz w:val="24"/>
        </w:rPr>
        <w:t>ing sent to the plaintiff person</w:t>
      </w:r>
      <w:r>
        <w:rPr>
          <w:rFonts w:ascii="Times New Roman" w:hAnsi="Times New Roman" w:cs="Times New Roman"/>
          <w:sz w:val="24"/>
        </w:rPr>
        <w:t xml:space="preserve">ally. The court held that such revocation is invalid. </w:t>
      </w:r>
    </w:p>
    <w:p w:rsidR="002A26B0" w:rsidRDefault="002A26B0">
      <w:pPr>
        <w:rPr>
          <w:rFonts w:ascii="Times New Roman" w:hAnsi="Times New Roman" w:cs="Times New Roman"/>
          <w:sz w:val="24"/>
        </w:rPr>
      </w:pPr>
      <w:r>
        <w:rPr>
          <w:rFonts w:ascii="Times New Roman" w:hAnsi="Times New Roman" w:cs="Times New Roman"/>
          <w:sz w:val="24"/>
        </w:rPr>
        <w:t>By section 39 of the Land Use Act, the high court has exclusive original jurisdiction with resp</w:t>
      </w:r>
      <w:r w:rsidR="00351FB1">
        <w:rPr>
          <w:rFonts w:ascii="Times New Roman" w:hAnsi="Times New Roman" w:cs="Times New Roman"/>
          <w:sz w:val="24"/>
        </w:rPr>
        <w:t>e</w:t>
      </w:r>
      <w:r>
        <w:rPr>
          <w:rFonts w:ascii="Times New Roman" w:hAnsi="Times New Roman" w:cs="Times New Roman"/>
          <w:sz w:val="24"/>
        </w:rPr>
        <w:t>ct to land in respect to which a statutory right of occupancy has been grant</w:t>
      </w:r>
      <w:r w:rsidR="00351FB1">
        <w:rPr>
          <w:rFonts w:ascii="Times New Roman" w:hAnsi="Times New Roman" w:cs="Times New Roman"/>
          <w:sz w:val="24"/>
        </w:rPr>
        <w:t>e</w:t>
      </w:r>
      <w:r>
        <w:rPr>
          <w:rFonts w:ascii="Times New Roman" w:hAnsi="Times New Roman" w:cs="Times New Roman"/>
          <w:sz w:val="24"/>
        </w:rPr>
        <w:t>d under the Act. Th</w:t>
      </w:r>
      <w:r w:rsidR="00351FB1">
        <w:rPr>
          <w:rFonts w:ascii="Times New Roman" w:hAnsi="Times New Roman" w:cs="Times New Roman"/>
          <w:sz w:val="24"/>
        </w:rPr>
        <w:t>is is also in lin</w:t>
      </w:r>
      <w:r>
        <w:rPr>
          <w:rFonts w:ascii="Times New Roman" w:hAnsi="Times New Roman" w:cs="Times New Roman"/>
          <w:sz w:val="24"/>
        </w:rPr>
        <w:t>e with the unlimited jurisdiction gr</w:t>
      </w:r>
      <w:r w:rsidR="00351FB1">
        <w:rPr>
          <w:rFonts w:ascii="Times New Roman" w:hAnsi="Times New Roman" w:cs="Times New Roman"/>
          <w:sz w:val="24"/>
        </w:rPr>
        <w:t>an</w:t>
      </w:r>
      <w:r>
        <w:rPr>
          <w:rFonts w:ascii="Times New Roman" w:hAnsi="Times New Roman" w:cs="Times New Roman"/>
          <w:sz w:val="24"/>
        </w:rPr>
        <w:t>ted to High Courts under Section 272 of the 1999 Constitution of the Federal Republic of Nigeria (as amended). H</w:t>
      </w:r>
      <w:r w:rsidR="00351FB1">
        <w:rPr>
          <w:rFonts w:ascii="Times New Roman" w:hAnsi="Times New Roman" w:cs="Times New Roman"/>
          <w:sz w:val="24"/>
        </w:rPr>
        <w:t>owev</w:t>
      </w:r>
      <w:r>
        <w:rPr>
          <w:rFonts w:ascii="Times New Roman" w:hAnsi="Times New Roman" w:cs="Times New Roman"/>
          <w:sz w:val="24"/>
        </w:rPr>
        <w:t xml:space="preserve">er, the federal High Court does not have jurisdiction to entertain matters under the Land Use Act even when the Federal government or any of its agencies is a party to the suit despite the provision of Section 251(1) of the </w:t>
      </w:r>
      <w:r>
        <w:rPr>
          <w:rFonts w:ascii="Times New Roman" w:hAnsi="Times New Roman" w:cs="Times New Roman"/>
          <w:sz w:val="24"/>
        </w:rPr>
        <w:t>1999 Constitution of the Federal Republic of Nigeria (as amended)</w:t>
      </w:r>
      <w:r>
        <w:rPr>
          <w:rFonts w:ascii="Times New Roman" w:hAnsi="Times New Roman" w:cs="Times New Roman"/>
          <w:sz w:val="24"/>
        </w:rPr>
        <w:t>.</w:t>
      </w:r>
    </w:p>
    <w:p w:rsidR="002A26B0" w:rsidRDefault="002A26B0">
      <w:pPr>
        <w:rPr>
          <w:rFonts w:ascii="Times New Roman" w:hAnsi="Times New Roman" w:cs="Times New Roman"/>
          <w:sz w:val="24"/>
        </w:rPr>
      </w:pPr>
      <w:r>
        <w:rPr>
          <w:rFonts w:ascii="Times New Roman" w:hAnsi="Times New Roman" w:cs="Times New Roman"/>
          <w:sz w:val="24"/>
        </w:rPr>
        <w:t xml:space="preserve">In my opinion, in this situation the Executive order and Quarantine order are superior to the Land Use Act and the Governor was right in demolishing Chief Ajah’s hotel as his acts were in contrary to public interests. </w:t>
      </w:r>
      <w:r w:rsidR="002B7726">
        <w:rPr>
          <w:rFonts w:ascii="Times New Roman" w:hAnsi="Times New Roman" w:cs="Times New Roman"/>
          <w:sz w:val="24"/>
        </w:rPr>
        <w:t>The Governor</w:t>
      </w:r>
      <w:r w:rsidR="00720504">
        <w:rPr>
          <w:rFonts w:ascii="Times New Roman" w:hAnsi="Times New Roman" w:cs="Times New Roman"/>
          <w:sz w:val="24"/>
        </w:rPr>
        <w:t>’s action were uncons</w:t>
      </w:r>
      <w:bookmarkStart w:id="0" w:name="_GoBack"/>
      <w:bookmarkEnd w:id="0"/>
      <w:r w:rsidR="002B7726">
        <w:rPr>
          <w:rFonts w:ascii="Times New Roman" w:hAnsi="Times New Roman" w:cs="Times New Roman"/>
          <w:sz w:val="24"/>
        </w:rPr>
        <w:t xml:space="preserve">titutional but they were right in order to ensure public safety. </w:t>
      </w:r>
      <w:r>
        <w:rPr>
          <w:rFonts w:ascii="Times New Roman" w:hAnsi="Times New Roman" w:cs="Times New Roman"/>
          <w:sz w:val="24"/>
        </w:rPr>
        <w:t xml:space="preserve">However, Chief Ajah can ask for compensation in accordance to Sections 29, 44 and 30 of the Land Use Act. </w:t>
      </w:r>
    </w:p>
    <w:p w:rsidR="00E071FD" w:rsidRPr="00801F2F" w:rsidRDefault="00E071FD">
      <w:pPr>
        <w:rPr>
          <w:rFonts w:ascii="Times New Roman" w:hAnsi="Times New Roman" w:cs="Times New Roman"/>
          <w:sz w:val="24"/>
        </w:rPr>
      </w:pPr>
    </w:p>
    <w:sectPr w:rsidR="00E071FD" w:rsidRPr="0080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909BD"/>
    <w:multiLevelType w:val="hybridMultilevel"/>
    <w:tmpl w:val="86BA0F38"/>
    <w:lvl w:ilvl="0" w:tplc="E59AF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2F"/>
    <w:rsid w:val="000D089E"/>
    <w:rsid w:val="000D7576"/>
    <w:rsid w:val="001059AF"/>
    <w:rsid w:val="001403B2"/>
    <w:rsid w:val="002823D5"/>
    <w:rsid w:val="002A26B0"/>
    <w:rsid w:val="002B2AC3"/>
    <w:rsid w:val="002B7726"/>
    <w:rsid w:val="002D14DF"/>
    <w:rsid w:val="002F62EE"/>
    <w:rsid w:val="0032378A"/>
    <w:rsid w:val="00351FB1"/>
    <w:rsid w:val="003E0351"/>
    <w:rsid w:val="003F1A5C"/>
    <w:rsid w:val="003F4746"/>
    <w:rsid w:val="00405C0E"/>
    <w:rsid w:val="006254B7"/>
    <w:rsid w:val="006434DD"/>
    <w:rsid w:val="00720504"/>
    <w:rsid w:val="00731040"/>
    <w:rsid w:val="00786937"/>
    <w:rsid w:val="00801F2F"/>
    <w:rsid w:val="008527E8"/>
    <w:rsid w:val="00921DDB"/>
    <w:rsid w:val="00952D16"/>
    <w:rsid w:val="00990110"/>
    <w:rsid w:val="00A3158A"/>
    <w:rsid w:val="00B55897"/>
    <w:rsid w:val="00D02B53"/>
    <w:rsid w:val="00E071FD"/>
    <w:rsid w:val="00E3732C"/>
    <w:rsid w:val="00E808D7"/>
    <w:rsid w:val="00E80F87"/>
    <w:rsid w:val="00F2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8893-6606-4DF3-9CCB-A13BEDAF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2020-05-15T14:20:00Z</dcterms:created>
  <dcterms:modified xsi:type="dcterms:W3CDTF">2020-05-15T18:15:00Z</dcterms:modified>
</cp:coreProperties>
</file>