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lgerian" w:hAnsi="Algerian"/>
        </w:rPr>
        <w:id w:val="1075518657"/>
        <w:docPartObj>
          <w:docPartGallery w:val="Cover Pages"/>
          <w:docPartUnique/>
        </w:docPartObj>
      </w:sdtPr>
      <w:sdtEndPr>
        <w:rPr>
          <w:rFonts w:asciiTheme="minorHAnsi" w:hAnsiTheme="minorHAnsi"/>
        </w:rPr>
      </w:sdtEndPr>
      <w:sdtContent>
        <w:p w:rsidR="001522AF" w:rsidRPr="001522AF" w:rsidRDefault="001522AF" w:rsidP="003E2892">
          <w:pPr>
            <w:spacing w:line="360" w:lineRule="auto"/>
            <w:rPr>
              <w:rFonts w:ascii="Algerian" w:hAnsi="Algerian"/>
            </w:rPr>
          </w:pPr>
        </w:p>
        <w:p w:rsidR="001522AF" w:rsidRPr="001522AF" w:rsidRDefault="001522AF" w:rsidP="003E2892">
          <w:pPr>
            <w:spacing w:line="360" w:lineRule="auto"/>
            <w:rPr>
              <w:rFonts w:ascii="Algerian" w:hAnsi="Algerian"/>
            </w:rPr>
          </w:pPr>
          <w:r w:rsidRPr="001522AF">
            <w:rPr>
              <w:rFonts w:ascii="Algerian" w:hAnsi="Algerian"/>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1b8e1 [1620]" stroked="f">
                      <v:fill opacity=".5"/>
                      <v:path arrowok="t"/>
                    </v:shape>
                    <v:shape id="_x0000_s1030" style="position:absolute;left:7150;top:7468;width:3466;height:3550;mso-width-relative:page;mso-height-relative:page" coordsize="3466,3550" path="m,569l,2930r3466,620l3466,,,569xe" fillcolor="#d0dbf0 [820]" stroked="f">
                      <v:fill opacity=".5"/>
                      <v:path arrowok="t"/>
                    </v:shape>
                    <v:shape id="_x0000_s1031" style="position:absolute;left:10616;top:7468;width:1591;height:3550;mso-width-relative:page;mso-height-relative:page" coordsize="1591,3550" path="m,l,3550,1591,2746r,-2009l,xe" fillcolor="#a1b8e1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0dbf0 [820]" stroked="f">
                    <v:fill opacity="45875f"/>
                    <v:path arrowok="t"/>
                  </v:shape>
                  <v:shape id="_x0000_s1036" style="position:absolute;left:2077;top:3617;width:6011;height:3835;mso-width-relative:page;mso-height-relative:page" coordsize="6011,3835" path="m,l17,3835,6011,2629r,-1390l,xe" fillcolor="#a1b8e1 [1620]" stroked="f">
                    <v:fill opacity="45875f"/>
                    <v:path arrowok="t"/>
                  </v:shape>
                  <v:shape id="_x0000_s1037" style="position:absolute;left:8088;top:3835;width:4102;height:3432;mso-width-relative:page;mso-height-relative:page" coordsize="4102,3432" path="m,1038l,2411,4102,3432,4102,,,1038xe" fillcolor="#d0dbf0 [820]" stroked="f">
                    <v:fill opacity="45875f"/>
                    <v:path arrowok="t"/>
                  </v:shape>
                </v:group>
                <v:rect id="_x0000_s1038" style="position:absolute;left:1800;top:1440;width:8638;height:1888;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00450E" w:rsidRPr="001522AF" w:rsidRDefault="0000450E">
                        <w:pPr>
                          <w:spacing w:after="0"/>
                          <w:rPr>
                            <w:rFonts w:ascii="Algerian" w:hAnsi="Algerian"/>
                            <w:b/>
                            <w:bCs/>
                            <w:color w:val="000000" w:themeColor="text1"/>
                            <w:sz w:val="52"/>
                            <w:szCs w:val="52"/>
                          </w:rPr>
                        </w:pPr>
                        <w:r w:rsidRPr="001522AF">
                          <w:rPr>
                            <w:rFonts w:ascii="Algerian" w:hAnsi="Algerian"/>
                            <w:b/>
                            <w:bCs/>
                            <w:color w:val="000000" w:themeColor="text1"/>
                            <w:sz w:val="52"/>
                            <w:szCs w:val="52"/>
                          </w:rPr>
                          <w:t xml:space="preserve">EGBEJI VICTORIA OLOR-OCHUWE </w:t>
                        </w:r>
                      </w:p>
                      <w:p w:rsidR="0000450E" w:rsidRPr="001522AF" w:rsidRDefault="0000450E">
                        <w:pPr>
                          <w:spacing w:after="0"/>
                          <w:rPr>
                            <w:rFonts w:ascii="Algerian" w:hAnsi="Algerian"/>
                            <w:b/>
                            <w:bCs/>
                            <w:color w:val="000000" w:themeColor="text1"/>
                            <w:sz w:val="52"/>
                            <w:szCs w:val="52"/>
                          </w:rPr>
                        </w:pPr>
                        <w:r w:rsidRPr="001522AF">
                          <w:rPr>
                            <w:rFonts w:ascii="Algerian" w:hAnsi="Algerian"/>
                            <w:b/>
                            <w:bCs/>
                            <w:color w:val="000000" w:themeColor="text1"/>
                            <w:sz w:val="52"/>
                            <w:szCs w:val="52"/>
                          </w:rPr>
                          <w:t>16/LAW01/066</w:t>
                        </w:r>
                      </w:p>
                      <w:p w:rsidR="0000450E" w:rsidRDefault="0000450E">
                        <w:pPr>
                          <w:spacing w:after="0"/>
                          <w:rPr>
                            <w:b/>
                            <w:bCs/>
                            <w:color w:val="808080" w:themeColor="text1" w:themeTint="7F"/>
                            <w:sz w:val="32"/>
                            <w:szCs w:val="32"/>
                          </w:rPr>
                        </w:pPr>
                      </w:p>
                    </w:txbxContent>
                  </v:textbox>
                </v:rect>
                <v:rect id="_x0000_s1039" style="position:absolute;left:6494;top:11160;width:4998;height:1671;mso-position-horizontal-relative:margin;mso-position-vertical-relative:margin" filled="f" stroked="f">
                  <v:textbox style="mso-next-textbox:#_x0000_s1039;mso-fit-shape-to-text:t">
                    <w:txbxContent>
                      <w:sdt>
                        <w:sdtPr>
                          <w:rPr>
                            <w:rFonts w:ascii="Algerian" w:hAnsi="Algerian"/>
                            <w:sz w:val="96"/>
                            <w:szCs w:val="96"/>
                          </w:rPr>
                          <w:alias w:val="Year"/>
                          <w:id w:val="1075518667"/>
                          <w:placeholder>
                            <w:docPart w:val="184273D3FBF74122AE0BBF559E7A4F7C"/>
                          </w:placeholder>
                          <w:dataBinding w:prefixMappings="xmlns:ns0='http://schemas.microsoft.com/office/2006/coverPageProps'" w:xpath="/ns0:CoverPageProperties[1]/ns0:PublishDate[1]" w:storeItemID="{55AF091B-3C7A-41E3-B477-F2FDAA23CFDA}"/>
                          <w:date w:fullDate="2020-05-15T00:00:00Z">
                            <w:dateFormat w:val="yy"/>
                            <w:lid w:val="en-US"/>
                            <w:storeMappedDataAs w:val="dateTime"/>
                            <w:calendar w:val="gregorian"/>
                          </w:date>
                        </w:sdtPr>
                        <w:sdtContent>
                          <w:p w:rsidR="0000450E" w:rsidRDefault="0000450E">
                            <w:pPr>
                              <w:jc w:val="right"/>
                              <w:rPr>
                                <w:sz w:val="96"/>
                                <w:szCs w:val="96"/>
                              </w:rPr>
                            </w:pPr>
                            <w:r w:rsidRPr="001522AF">
                              <w:rPr>
                                <w:rFonts w:ascii="Algerian" w:hAnsi="Algerian"/>
                                <w:sz w:val="96"/>
                                <w:szCs w:val="96"/>
                              </w:rPr>
                              <w:t>15/05/20</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00450E" w:rsidRPr="001522AF" w:rsidRDefault="0000450E">
                        <w:pPr>
                          <w:spacing w:after="0"/>
                          <w:rPr>
                            <w:rFonts w:ascii="Algerian" w:hAnsi="Algerian"/>
                            <w:b/>
                            <w:bCs/>
                            <w:color w:val="44546A" w:themeColor="text2"/>
                            <w:sz w:val="72"/>
                            <w:szCs w:val="72"/>
                          </w:rPr>
                        </w:pPr>
                        <w:r w:rsidRPr="001522AF">
                          <w:rPr>
                            <w:rFonts w:ascii="Algerian" w:hAnsi="Algerian"/>
                            <w:b/>
                            <w:bCs/>
                            <w:color w:val="44546A" w:themeColor="text2"/>
                            <w:sz w:val="72"/>
                            <w:szCs w:val="72"/>
                          </w:rPr>
                          <w:t>LAND LAW II</w:t>
                        </w:r>
                      </w:p>
                      <w:p w:rsidR="0000450E" w:rsidRPr="001522AF" w:rsidRDefault="0000450E">
                        <w:pPr>
                          <w:rPr>
                            <w:rFonts w:ascii="Algerian" w:hAnsi="Algerian"/>
                            <w:b/>
                            <w:bCs/>
                            <w:color w:val="4472C4" w:themeColor="accent1"/>
                            <w:sz w:val="72"/>
                            <w:szCs w:val="72"/>
                          </w:rPr>
                        </w:pPr>
                        <w:r w:rsidRPr="001522AF">
                          <w:rPr>
                            <w:rFonts w:ascii="Algerian" w:hAnsi="Algerian"/>
                            <w:b/>
                            <w:bCs/>
                            <w:color w:val="4472C4" w:themeColor="accent1"/>
                            <w:sz w:val="72"/>
                            <w:szCs w:val="72"/>
                          </w:rPr>
                          <w:t>LPB 402</w:t>
                        </w:r>
                      </w:p>
                      <w:p w:rsidR="0000450E" w:rsidRDefault="0000450E">
                        <w:pPr>
                          <w:rPr>
                            <w:b/>
                            <w:bCs/>
                            <w:color w:val="808080" w:themeColor="text1" w:themeTint="7F"/>
                            <w:sz w:val="32"/>
                            <w:szCs w:val="32"/>
                          </w:rPr>
                        </w:pPr>
                      </w:p>
                      <w:p w:rsidR="0000450E" w:rsidRPr="001522AF" w:rsidRDefault="0000450E">
                        <w:pPr>
                          <w:rPr>
                            <w:rFonts w:ascii="Algerian" w:hAnsi="Algerian"/>
                            <w:b/>
                            <w:bCs/>
                            <w:color w:val="808080" w:themeColor="text1" w:themeTint="7F"/>
                            <w:sz w:val="40"/>
                            <w:szCs w:val="40"/>
                          </w:rPr>
                        </w:pPr>
                        <w:r>
                          <w:rPr>
                            <w:rFonts w:ascii="Algerian" w:hAnsi="Algerian"/>
                            <w:b/>
                            <w:bCs/>
                            <w:color w:val="808080" w:themeColor="text1" w:themeTint="7F"/>
                            <w:sz w:val="40"/>
                            <w:szCs w:val="40"/>
                          </w:rPr>
                          <w:t>LECTURER</w:t>
                        </w:r>
                        <w:r w:rsidRPr="001522AF">
                          <w:rPr>
                            <w:rFonts w:ascii="Algerian" w:hAnsi="Algerian"/>
                            <w:b/>
                            <w:bCs/>
                            <w:color w:val="808080" w:themeColor="text1" w:themeTint="7F"/>
                            <w:sz w:val="40"/>
                            <w:szCs w:val="40"/>
                          </w:rPr>
                          <w:t xml:space="preserve"> IN CHARGE: BARR. OLUBIYI</w:t>
                        </w:r>
                      </w:p>
                      <w:p w:rsidR="0000450E" w:rsidRDefault="0000450E">
                        <w:pPr>
                          <w:rPr>
                            <w:b/>
                            <w:bCs/>
                            <w:color w:val="808080" w:themeColor="text1" w:themeTint="7F"/>
                            <w:sz w:val="32"/>
                            <w:szCs w:val="32"/>
                          </w:rPr>
                        </w:pPr>
                      </w:p>
                    </w:txbxContent>
                  </v:textbox>
                </v:rect>
                <w10:wrap anchorx="page" anchory="margin"/>
              </v:group>
            </w:pict>
          </w:r>
        </w:p>
        <w:p w:rsidR="001337BE" w:rsidRDefault="001522AF" w:rsidP="003E2892">
          <w:pPr>
            <w:spacing w:line="360" w:lineRule="auto"/>
          </w:pPr>
        </w:p>
      </w:sdtContent>
    </w:sdt>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1522AF" w:rsidRDefault="001522AF" w:rsidP="003E2892">
      <w:pPr>
        <w:spacing w:line="360" w:lineRule="auto"/>
      </w:pPr>
    </w:p>
    <w:p w:rsidR="003E2892" w:rsidRDefault="003E2892" w:rsidP="003E2892">
      <w:pPr>
        <w:spacing w:line="360" w:lineRule="auto"/>
      </w:pPr>
    </w:p>
    <w:p w:rsidR="001522AF" w:rsidRDefault="001522AF" w:rsidP="003E2892">
      <w:pPr>
        <w:spacing w:line="360" w:lineRule="auto"/>
        <w:rPr>
          <w:rFonts w:ascii="Algerian" w:hAnsi="Algerian"/>
          <w:sz w:val="32"/>
          <w:szCs w:val="32"/>
        </w:rPr>
      </w:pPr>
      <w:r>
        <w:rPr>
          <w:rFonts w:ascii="Algerian" w:hAnsi="Algerian"/>
          <w:sz w:val="32"/>
          <w:szCs w:val="32"/>
        </w:rPr>
        <w:lastRenderedPageBreak/>
        <w:t>ANSWER</w:t>
      </w:r>
    </w:p>
    <w:p w:rsidR="007062EB" w:rsidRDefault="003E2892" w:rsidP="003E289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legal issue in the case scenario given is whether the act </w:t>
      </w:r>
      <w:r w:rsidR="007062EB">
        <w:rPr>
          <w:rFonts w:ascii="Times New Roman" w:hAnsi="Times New Roman" w:cs="Times New Roman"/>
          <w:sz w:val="24"/>
          <w:szCs w:val="24"/>
        </w:rPr>
        <w:t>of the Government is considered to be unconstitutional.</w:t>
      </w:r>
    </w:p>
    <w:p w:rsidR="005065C5" w:rsidRDefault="007062EB" w:rsidP="003E289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given case scenario is a depiction of </w:t>
      </w:r>
      <w:r w:rsidR="00202900" w:rsidRPr="00202900">
        <w:rPr>
          <w:rFonts w:ascii="Times New Roman" w:hAnsi="Times New Roman" w:cs="Times New Roman"/>
          <w:b/>
          <w:sz w:val="24"/>
          <w:szCs w:val="24"/>
        </w:rPr>
        <w:t>“</w:t>
      </w:r>
      <w:r w:rsidRPr="00202900">
        <w:rPr>
          <w:rFonts w:ascii="Times New Roman" w:hAnsi="Times New Roman" w:cs="Times New Roman"/>
          <w:b/>
          <w:sz w:val="24"/>
          <w:szCs w:val="24"/>
        </w:rPr>
        <w:t>revocation of right of occupancy for overriding public interest</w:t>
      </w:r>
      <w:r w:rsidR="00202900" w:rsidRPr="00202900">
        <w:rPr>
          <w:rFonts w:ascii="Times New Roman" w:hAnsi="Times New Roman" w:cs="Times New Roman"/>
          <w:b/>
          <w:sz w:val="24"/>
          <w:szCs w:val="24"/>
        </w:rPr>
        <w:t>”</w:t>
      </w:r>
      <w:r>
        <w:rPr>
          <w:rFonts w:ascii="Times New Roman" w:hAnsi="Times New Roman" w:cs="Times New Roman"/>
          <w:sz w:val="24"/>
          <w:szCs w:val="24"/>
        </w:rPr>
        <w:t xml:space="preserve">. By virtue of </w:t>
      </w:r>
      <w:r w:rsidRPr="00202900">
        <w:rPr>
          <w:rFonts w:ascii="Times New Roman" w:hAnsi="Times New Roman" w:cs="Times New Roman"/>
          <w:b/>
          <w:sz w:val="24"/>
          <w:szCs w:val="24"/>
        </w:rPr>
        <w:t>Section 28 of the Land Use Act</w:t>
      </w:r>
      <w:r>
        <w:rPr>
          <w:rFonts w:ascii="Times New Roman" w:hAnsi="Times New Roman" w:cs="Times New Roman"/>
          <w:sz w:val="24"/>
          <w:szCs w:val="24"/>
        </w:rPr>
        <w:t xml:space="preserve"> a right of occupancy may be revoked by the Governor for overriding public interest. This power is exercisable in respect of either statutory right of occupancy or customary right of occupancy (also </w:t>
      </w:r>
      <w:r w:rsidRPr="00202900">
        <w:rPr>
          <w:rFonts w:ascii="Times New Roman" w:hAnsi="Times New Roman" w:cs="Times New Roman"/>
          <w:b/>
          <w:sz w:val="24"/>
          <w:szCs w:val="24"/>
        </w:rPr>
        <w:t>Section 38 of the Act</w:t>
      </w:r>
      <w:r>
        <w:rPr>
          <w:rFonts w:ascii="Times New Roman" w:hAnsi="Times New Roman" w:cs="Times New Roman"/>
          <w:sz w:val="24"/>
          <w:szCs w:val="24"/>
        </w:rPr>
        <w:t xml:space="preserve">). This power of revocation is also exercisable </w:t>
      </w:r>
      <w:r w:rsidR="005065C5">
        <w:rPr>
          <w:rFonts w:ascii="Times New Roman" w:hAnsi="Times New Roman" w:cs="Times New Roman"/>
          <w:sz w:val="24"/>
          <w:szCs w:val="24"/>
        </w:rPr>
        <w:t xml:space="preserve">in respect of right of occupancy granted or deemed granted by the government. For the purpose of </w:t>
      </w:r>
      <w:r w:rsidR="005065C5" w:rsidRPr="00202900">
        <w:rPr>
          <w:rFonts w:ascii="Times New Roman" w:hAnsi="Times New Roman" w:cs="Times New Roman"/>
          <w:b/>
          <w:sz w:val="24"/>
          <w:szCs w:val="24"/>
        </w:rPr>
        <w:t>Section 28 of the Act</w:t>
      </w:r>
      <w:r w:rsidR="005065C5">
        <w:rPr>
          <w:rFonts w:ascii="Times New Roman" w:hAnsi="Times New Roman" w:cs="Times New Roman"/>
          <w:sz w:val="24"/>
          <w:szCs w:val="24"/>
        </w:rPr>
        <w:t xml:space="preserve">, overriding public interest may include: alienation by the occupier of any right of occupancy or part thereof contrary to the provisions of the Act or any regulations made there under; requirement of the land by the government for public purpose, among others. </w:t>
      </w:r>
    </w:p>
    <w:p w:rsidR="0000450E" w:rsidRPr="003E2892" w:rsidRDefault="005065C5" w:rsidP="0000450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Also, by virtue of </w:t>
      </w:r>
      <w:r w:rsidRPr="00202900">
        <w:rPr>
          <w:rFonts w:ascii="Times New Roman" w:hAnsi="Times New Roman" w:cs="Times New Roman"/>
          <w:b/>
          <w:sz w:val="24"/>
          <w:szCs w:val="24"/>
        </w:rPr>
        <w:t>Section 28(4) of the Act</w:t>
      </w:r>
      <w:r>
        <w:rPr>
          <w:rFonts w:ascii="Times New Roman" w:hAnsi="Times New Roman" w:cs="Times New Roman"/>
          <w:sz w:val="24"/>
          <w:szCs w:val="24"/>
        </w:rPr>
        <w:t xml:space="preserve">, the Governor shall revoke a right of occupancy in the event of the issue of a notice by or on behalf </w:t>
      </w:r>
      <w:r w:rsidR="006B6EC6">
        <w:rPr>
          <w:rFonts w:ascii="Times New Roman" w:hAnsi="Times New Roman" w:cs="Times New Roman"/>
          <w:sz w:val="24"/>
          <w:szCs w:val="24"/>
        </w:rPr>
        <w:t xml:space="preserve">of the President if such notice declares such land to be required by the government for public purposes. In terms of </w:t>
      </w:r>
      <w:r w:rsidR="006B6EC6" w:rsidRPr="00202900">
        <w:rPr>
          <w:rFonts w:ascii="Times New Roman" w:hAnsi="Times New Roman" w:cs="Times New Roman"/>
          <w:b/>
          <w:sz w:val="24"/>
          <w:szCs w:val="24"/>
        </w:rPr>
        <w:t>Section</w:t>
      </w:r>
      <w:r w:rsidR="006B6EC6">
        <w:rPr>
          <w:rFonts w:ascii="Times New Roman" w:hAnsi="Times New Roman" w:cs="Times New Roman"/>
          <w:i/>
          <w:sz w:val="24"/>
          <w:szCs w:val="24"/>
        </w:rPr>
        <w:t xml:space="preserve"> </w:t>
      </w:r>
      <w:r w:rsidR="006B6EC6" w:rsidRPr="00202900">
        <w:rPr>
          <w:rFonts w:ascii="Times New Roman" w:hAnsi="Times New Roman" w:cs="Times New Roman"/>
          <w:b/>
          <w:sz w:val="24"/>
          <w:szCs w:val="24"/>
        </w:rPr>
        <w:t>28(6) of the Act</w:t>
      </w:r>
      <w:r w:rsidR="006B6EC6">
        <w:rPr>
          <w:rFonts w:ascii="Times New Roman" w:hAnsi="Times New Roman" w:cs="Times New Roman"/>
          <w:sz w:val="24"/>
          <w:szCs w:val="24"/>
        </w:rPr>
        <w:t xml:space="preserve">, any revocation of a right of occupancy shall be signified under the hand of a public officer duly authorized in that behalf by the Governor and notice thereof shall be given to the holder. As such, notice of revocation is very crucial under the </w:t>
      </w:r>
      <w:r w:rsidR="006B6EC6" w:rsidRPr="00202900">
        <w:rPr>
          <w:rFonts w:ascii="Times New Roman" w:hAnsi="Times New Roman" w:cs="Times New Roman"/>
          <w:b/>
          <w:sz w:val="24"/>
          <w:szCs w:val="24"/>
        </w:rPr>
        <w:t>Land Use Act</w:t>
      </w:r>
      <w:r w:rsidR="006B6EC6">
        <w:rPr>
          <w:rFonts w:ascii="Times New Roman" w:hAnsi="Times New Roman" w:cs="Times New Roman"/>
          <w:sz w:val="24"/>
          <w:szCs w:val="24"/>
        </w:rPr>
        <w:t>. The Governor is empowered to revoke a right of occupancy only after issuing a notice. The notice must state the particular reason for which the land is required; also the mode of service must comply with the provisions of the Act otherwise the notice will be considered void (</w:t>
      </w:r>
      <w:r w:rsidR="006B6EC6" w:rsidRPr="00202900">
        <w:rPr>
          <w:rFonts w:ascii="Times New Roman" w:hAnsi="Times New Roman" w:cs="Times New Roman"/>
          <w:b/>
          <w:sz w:val="24"/>
          <w:szCs w:val="24"/>
        </w:rPr>
        <w:t>Section 44 of the Act</w:t>
      </w:r>
      <w:r w:rsidR="006B6EC6">
        <w:rPr>
          <w:rFonts w:ascii="Times New Roman" w:hAnsi="Times New Roman" w:cs="Times New Roman"/>
          <w:sz w:val="24"/>
          <w:szCs w:val="24"/>
        </w:rPr>
        <w:t xml:space="preserve"> provides for mode of service of notices under the Act). The purpose of giving notice of revocation of a right of occupancy is to duly inform the holder of the steps to be taken to extinguish his/her right of occupancy</w:t>
      </w:r>
      <w:r w:rsidR="00202900">
        <w:rPr>
          <w:rFonts w:ascii="Times New Roman" w:hAnsi="Times New Roman" w:cs="Times New Roman"/>
          <w:sz w:val="24"/>
          <w:szCs w:val="24"/>
        </w:rPr>
        <w:t>. In the absence of a valid notice of revocation, the purported revocation of the right of occupancy will be ineffectual.</w:t>
      </w:r>
      <w:r w:rsidR="0000450E">
        <w:rPr>
          <w:rFonts w:ascii="Times New Roman" w:hAnsi="Times New Roman" w:cs="Times New Roman"/>
          <w:sz w:val="24"/>
          <w:szCs w:val="24"/>
        </w:rPr>
        <w:t xml:space="preserve">  A</w:t>
      </w:r>
      <w:r w:rsidR="0000450E" w:rsidRPr="006B6EC6">
        <w:rPr>
          <w:rFonts w:ascii="Times New Roman" w:hAnsi="Times New Roman" w:cs="Times New Roman"/>
          <w:sz w:val="24"/>
          <w:szCs w:val="24"/>
        </w:rPr>
        <w:t>lthough</w:t>
      </w:r>
      <w:r w:rsidR="0000450E">
        <w:rPr>
          <w:rFonts w:ascii="Times New Roman" w:hAnsi="Times New Roman" w:cs="Times New Roman"/>
          <w:sz w:val="24"/>
          <w:szCs w:val="24"/>
        </w:rPr>
        <w:t xml:space="preserve"> the </w:t>
      </w:r>
      <w:r w:rsidR="0000450E" w:rsidRPr="0000450E">
        <w:rPr>
          <w:rFonts w:ascii="Times New Roman" w:hAnsi="Times New Roman" w:cs="Times New Roman"/>
          <w:b/>
          <w:sz w:val="24"/>
          <w:szCs w:val="24"/>
        </w:rPr>
        <w:t xml:space="preserve">Land Use Act </w:t>
      </w:r>
      <w:r w:rsidR="0000450E">
        <w:rPr>
          <w:rFonts w:ascii="Times New Roman" w:hAnsi="Times New Roman" w:cs="Times New Roman"/>
          <w:sz w:val="24"/>
          <w:szCs w:val="24"/>
        </w:rPr>
        <w:t xml:space="preserve">does not expressly state that the specific ground(s) of the revocation of a right of occupancy must be stated in the notice, however, following judicial decisions, where a right of occupancy is stated to be revoked for public purpose, there is need to spell out the public purpose in the notice of revocation. </w:t>
      </w:r>
    </w:p>
    <w:p w:rsidR="00202900" w:rsidRDefault="00202900" w:rsidP="003E2892">
      <w:pPr>
        <w:spacing w:line="360" w:lineRule="auto"/>
        <w:rPr>
          <w:rFonts w:ascii="Times New Roman" w:hAnsi="Times New Roman" w:cs="Times New Roman"/>
          <w:sz w:val="24"/>
          <w:szCs w:val="24"/>
        </w:rPr>
      </w:pPr>
    </w:p>
    <w:p w:rsidR="00202900" w:rsidRDefault="00202900" w:rsidP="003E289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Furthermore, by virtue of </w:t>
      </w:r>
      <w:r w:rsidRPr="00202900">
        <w:rPr>
          <w:rFonts w:ascii="Times New Roman" w:hAnsi="Times New Roman" w:cs="Times New Roman"/>
          <w:b/>
          <w:sz w:val="24"/>
          <w:szCs w:val="24"/>
        </w:rPr>
        <w:t>Section 28(6) of the Act</w:t>
      </w:r>
      <w:r>
        <w:rPr>
          <w:rFonts w:ascii="Times New Roman" w:hAnsi="Times New Roman" w:cs="Times New Roman"/>
          <w:sz w:val="24"/>
          <w:szCs w:val="24"/>
        </w:rPr>
        <w:t xml:space="preserve">, a notice of revocation of a right of occupancy must be given to the holder. By </w:t>
      </w:r>
      <w:r w:rsidRPr="00202900">
        <w:rPr>
          <w:rFonts w:ascii="Times New Roman" w:hAnsi="Times New Roman" w:cs="Times New Roman"/>
          <w:b/>
          <w:sz w:val="24"/>
          <w:szCs w:val="24"/>
        </w:rPr>
        <w:t>Section 44(a), (b) and (c) of the Act,</w:t>
      </w:r>
      <w:r>
        <w:rPr>
          <w:rFonts w:ascii="Times New Roman" w:hAnsi="Times New Roman" w:cs="Times New Roman"/>
          <w:sz w:val="24"/>
          <w:szCs w:val="24"/>
        </w:rPr>
        <w:t xml:space="preserve"> any notice given required to be served on a person shall be effectively served on him/her:</w:t>
      </w:r>
    </w:p>
    <w:p w:rsidR="00202900" w:rsidRDefault="00202900" w:rsidP="0020290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by delivering it to the person on whom it is to be served;</w:t>
      </w:r>
    </w:p>
    <w:p w:rsidR="00202900" w:rsidRDefault="00202900" w:rsidP="0020290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by leaving it at the usual or last known place of abode of that person; or</w:t>
      </w:r>
    </w:p>
    <w:p w:rsidR="00202900" w:rsidRDefault="00202900" w:rsidP="0020290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by sending it in a pre-paid registered letter addressed to that person at his usual or last known place of abode. </w:t>
      </w:r>
    </w:p>
    <w:p w:rsidR="00202900" w:rsidRPr="00202900" w:rsidRDefault="00202900" w:rsidP="00202900">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A publication in the Gazette of a notice of revocation without a personal service of the same on the person(s) concerned does not make the revocation valid. As such, in the case of </w:t>
      </w:r>
      <w:r>
        <w:rPr>
          <w:rFonts w:ascii="Times New Roman" w:hAnsi="Times New Roman" w:cs="Times New Roman"/>
          <w:i/>
          <w:sz w:val="24"/>
          <w:szCs w:val="24"/>
        </w:rPr>
        <w:t>S.O. Adole v Bon</w:t>
      </w:r>
      <w:r w:rsidR="0000450E">
        <w:rPr>
          <w:rFonts w:ascii="Times New Roman" w:hAnsi="Times New Roman" w:cs="Times New Roman"/>
          <w:i/>
          <w:sz w:val="24"/>
          <w:szCs w:val="24"/>
        </w:rPr>
        <w:t>iface B. Gwar (2008) 11 NWLR (Pt 1099) 562</w:t>
      </w:r>
      <w:r w:rsidR="0000450E">
        <w:rPr>
          <w:rFonts w:ascii="Times New Roman" w:hAnsi="Times New Roman" w:cs="Times New Roman"/>
          <w:sz w:val="24"/>
          <w:szCs w:val="24"/>
        </w:rPr>
        <w:t xml:space="preserve">, the </w:t>
      </w:r>
      <w:r w:rsidR="0000450E">
        <w:rPr>
          <w:rFonts w:ascii="Times New Roman" w:hAnsi="Times New Roman" w:cs="Times New Roman"/>
          <w:b/>
          <w:i/>
          <w:sz w:val="24"/>
          <w:szCs w:val="24"/>
        </w:rPr>
        <w:t>Supreme Court</w:t>
      </w:r>
      <w:r w:rsidR="0000450E">
        <w:rPr>
          <w:rFonts w:ascii="Times New Roman" w:hAnsi="Times New Roman" w:cs="Times New Roman"/>
          <w:sz w:val="24"/>
          <w:szCs w:val="24"/>
        </w:rPr>
        <w:t xml:space="preserve"> held that notice of revocation of title and service of such notice to the holder are two mandatory requirements that have to be strictly complied with where a title to a piece of land is revoked. Where a person’s title to land is revoked, it should only be done for public purpose and/or for public interest – the </w:t>
      </w:r>
      <w:r w:rsidR="0000450E">
        <w:rPr>
          <w:rFonts w:ascii="Times New Roman" w:hAnsi="Times New Roman" w:cs="Times New Roman"/>
          <w:b/>
          <w:i/>
          <w:sz w:val="24"/>
          <w:szCs w:val="24"/>
        </w:rPr>
        <w:t>Supreme Court</w:t>
      </w:r>
      <w:r w:rsidR="0000450E">
        <w:rPr>
          <w:rFonts w:ascii="Times New Roman" w:hAnsi="Times New Roman" w:cs="Times New Roman"/>
          <w:sz w:val="24"/>
          <w:szCs w:val="24"/>
        </w:rPr>
        <w:t xml:space="preserve"> emphasized this issue in the case of </w:t>
      </w:r>
      <w:r w:rsidR="0000450E">
        <w:rPr>
          <w:rFonts w:ascii="Times New Roman" w:hAnsi="Times New Roman" w:cs="Times New Roman"/>
          <w:i/>
          <w:sz w:val="24"/>
          <w:szCs w:val="24"/>
        </w:rPr>
        <w:t>Ibrahim v Mohammed (2003) 17 WRN 1</w:t>
      </w:r>
      <w:r w:rsidR="0000450E">
        <w:rPr>
          <w:rFonts w:ascii="Times New Roman" w:hAnsi="Times New Roman" w:cs="Times New Roman"/>
          <w:sz w:val="24"/>
          <w:szCs w:val="24"/>
        </w:rPr>
        <w:t xml:space="preserve">. </w:t>
      </w:r>
      <w:r w:rsidRPr="00202900">
        <w:rPr>
          <w:rFonts w:ascii="Times New Roman" w:hAnsi="Times New Roman" w:cs="Times New Roman"/>
          <w:sz w:val="24"/>
          <w:szCs w:val="24"/>
        </w:rPr>
        <w:t xml:space="preserve"> </w:t>
      </w:r>
    </w:p>
    <w:p w:rsidR="001522AF" w:rsidRDefault="0000450E" w:rsidP="003E289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relation to the given case scenario, the Governor after giving executive orders did as he stated in the order. Chief Ajah clearly violated the order of the Governor as it was for a public purpose and as such had his hotel demolished. Also, the Governor had given several warnings to Chief Ajah and as he did not comply with these warnings he had his hotel demolished as the consequence. Therefore, the Governor had every right to demolish the hotel as it was going against an executive order and it was for a public purpose. </w:t>
      </w:r>
    </w:p>
    <w:p w:rsidR="0000450E" w:rsidRPr="003E2892" w:rsidRDefault="0000450E" w:rsidP="003E289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647B95">
        <w:rPr>
          <w:rFonts w:ascii="Times New Roman" w:hAnsi="Times New Roman" w:cs="Times New Roman"/>
          <w:sz w:val="24"/>
          <w:szCs w:val="24"/>
        </w:rPr>
        <w:t xml:space="preserve">Chief Ajah has little to no chances of success in pursuing this case as he was the one clearly in default of an executive order which was for a public purpose, even after being given several warnings (notices). </w:t>
      </w:r>
    </w:p>
    <w:p w:rsidR="001522AF" w:rsidRPr="001522AF" w:rsidRDefault="001522AF" w:rsidP="003E2892">
      <w:pPr>
        <w:spacing w:line="360" w:lineRule="auto"/>
        <w:rPr>
          <w:rFonts w:ascii="Algerian" w:hAnsi="Algerian"/>
          <w:sz w:val="32"/>
          <w:szCs w:val="32"/>
        </w:rPr>
      </w:pPr>
    </w:p>
    <w:sectPr w:rsidR="001522AF" w:rsidRPr="001522AF" w:rsidSect="003E28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299" w:rsidRDefault="00490299" w:rsidP="003E2892">
      <w:pPr>
        <w:spacing w:after="0" w:line="240" w:lineRule="auto"/>
      </w:pPr>
      <w:r>
        <w:separator/>
      </w:r>
    </w:p>
  </w:endnote>
  <w:endnote w:type="continuationSeparator" w:id="1">
    <w:p w:rsidR="00490299" w:rsidRDefault="00490299" w:rsidP="003E2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74" w:rsidRDefault="000A70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74" w:rsidRDefault="000A70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74" w:rsidRDefault="000A7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299" w:rsidRDefault="00490299" w:rsidP="003E2892">
      <w:pPr>
        <w:spacing w:after="0" w:line="240" w:lineRule="auto"/>
      </w:pPr>
      <w:r>
        <w:separator/>
      </w:r>
    </w:p>
  </w:footnote>
  <w:footnote w:type="continuationSeparator" w:id="1">
    <w:p w:rsidR="00490299" w:rsidRDefault="00490299" w:rsidP="003E2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74" w:rsidRDefault="000A70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911172" o:spid="_x0000_s2050" type="#_x0000_t136" style="position:absolute;margin-left:0;margin-top:0;width:507.6pt;height:152.25pt;rotation:315;z-index:-251654144;mso-position-horizontal:center;mso-position-horizontal-relative:margin;mso-position-vertical:center;mso-position-vertical-relative:margin" o:allowincell="f" fillcolor="silver" stroked="f">
          <v:fill opacity=".5"/>
          <v:textpath style="font-family:&quot;Calibri&quot;;font-size:1pt" string="LAND LAW I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0E" w:rsidRDefault="000A7074">
    <w:pPr>
      <w:pStyle w:val="Header"/>
      <w:pBdr>
        <w:bottom w:val="single" w:sz="4" w:space="1" w:color="D9D9D9" w:themeColor="background1" w:themeShade="D9"/>
      </w:pBdr>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911173" o:spid="_x0000_s2051" type="#_x0000_t136" style="position:absolute;left:0;text-align:left;margin-left:0;margin-top:0;width:507.6pt;height:152.25pt;rotation:315;z-index:-251652096;mso-position-horizontal:center;mso-position-horizontal-relative:margin;mso-position-vertical:center;mso-position-vertical-relative:margin" o:allowincell="f" fillcolor="silver" stroked="f">
          <v:fill opacity=".5"/>
          <v:textpath style="font-family:&quot;Calibri&quot;;font-size:1pt" string="LAND LAW II"/>
        </v:shape>
      </w:pict>
    </w:r>
    <w:sdt>
      <w:sdtPr>
        <w:rPr>
          <w:color w:val="7F7F7F" w:themeColor="background1" w:themeShade="7F"/>
          <w:spacing w:val="60"/>
        </w:rPr>
        <w:id w:val="1075518672"/>
        <w:docPartObj>
          <w:docPartGallery w:val="Page Numbers (Top of Page)"/>
          <w:docPartUnique/>
        </w:docPartObj>
      </w:sdtPr>
      <w:sdtEndPr>
        <w:rPr>
          <w:color w:val="auto"/>
          <w:spacing w:val="0"/>
        </w:rPr>
      </w:sdtEndPr>
      <w:sdtContent>
        <w:r w:rsidR="0000450E">
          <w:rPr>
            <w:color w:val="7F7F7F" w:themeColor="background1" w:themeShade="7F"/>
            <w:spacing w:val="60"/>
          </w:rPr>
          <w:t>Page</w:t>
        </w:r>
        <w:r w:rsidR="0000450E">
          <w:t xml:space="preserve"> | </w:t>
        </w:r>
        <w:fldSimple w:instr=" PAGE   \* MERGEFORMAT ">
          <w:r w:rsidRPr="000A7074">
            <w:rPr>
              <w:b/>
              <w:noProof/>
            </w:rPr>
            <w:t>2</w:t>
          </w:r>
        </w:fldSimple>
      </w:sdtContent>
    </w:sdt>
  </w:p>
  <w:p w:rsidR="0000450E" w:rsidRDefault="000045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74" w:rsidRDefault="000A70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911171" o:spid="_x0000_s2049" type="#_x0000_t136" style="position:absolute;margin-left:0;margin-top:0;width:507.6pt;height:152.25pt;rotation:315;z-index:-251656192;mso-position-horizontal:center;mso-position-horizontal-relative:margin;mso-position-vertical:center;mso-position-vertical-relative:margin" o:allowincell="f" fillcolor="silver" stroked="f">
          <v:fill opacity=".5"/>
          <v:textpath style="font-family:&quot;Calibri&quot;;font-size:1pt" string="LAND LAW I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B3AE2"/>
    <w:multiLevelType w:val="hybridMultilevel"/>
    <w:tmpl w:val="73D2C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522AF"/>
    <w:rsid w:val="0000450E"/>
    <w:rsid w:val="000A7074"/>
    <w:rsid w:val="001337BE"/>
    <w:rsid w:val="001522AF"/>
    <w:rsid w:val="00202900"/>
    <w:rsid w:val="00363106"/>
    <w:rsid w:val="003E2892"/>
    <w:rsid w:val="00490299"/>
    <w:rsid w:val="005065C5"/>
    <w:rsid w:val="00647B95"/>
    <w:rsid w:val="006B6EC6"/>
    <w:rsid w:val="007062EB"/>
    <w:rsid w:val="00DF46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AF"/>
    <w:rPr>
      <w:rFonts w:ascii="Tahoma" w:hAnsi="Tahoma" w:cs="Tahoma"/>
      <w:sz w:val="16"/>
      <w:szCs w:val="16"/>
    </w:rPr>
  </w:style>
  <w:style w:type="paragraph" w:styleId="Header">
    <w:name w:val="header"/>
    <w:basedOn w:val="Normal"/>
    <w:link w:val="HeaderChar"/>
    <w:uiPriority w:val="99"/>
    <w:unhideWhenUsed/>
    <w:rsid w:val="003E2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92"/>
  </w:style>
  <w:style w:type="paragraph" w:styleId="Footer">
    <w:name w:val="footer"/>
    <w:basedOn w:val="Normal"/>
    <w:link w:val="FooterChar"/>
    <w:uiPriority w:val="99"/>
    <w:semiHidden/>
    <w:unhideWhenUsed/>
    <w:rsid w:val="003E28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2892"/>
  </w:style>
  <w:style w:type="paragraph" w:styleId="ListParagraph">
    <w:name w:val="List Paragraph"/>
    <w:basedOn w:val="Normal"/>
    <w:uiPriority w:val="34"/>
    <w:qFormat/>
    <w:rsid w:val="002029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4273D3FBF74122AE0BBF559E7A4F7C"/>
        <w:category>
          <w:name w:val="General"/>
          <w:gallery w:val="placeholder"/>
        </w:category>
        <w:types>
          <w:type w:val="bbPlcHdr"/>
        </w:types>
        <w:behaviors>
          <w:behavior w:val="content"/>
        </w:behaviors>
        <w:guid w:val="{0D21044C-3BA0-4A0E-9F6A-CB3C5BA900E7}"/>
      </w:docPartPr>
      <w:docPartBody>
        <w:p w:rsidR="00DF7732" w:rsidRDefault="00DF7732" w:rsidP="00DF7732">
          <w:pPr>
            <w:pStyle w:val="184273D3FBF74122AE0BBF559E7A4F7C"/>
          </w:pPr>
          <w:r>
            <w:rPr>
              <w:sz w:val="96"/>
              <w:szCs w:val="9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F7732"/>
    <w:rsid w:val="00DF7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8DFF337854FE6B893D61D472B7F39">
    <w:name w:val="B2B8DFF337854FE6B893D61D472B7F39"/>
    <w:rsid w:val="00DF7732"/>
  </w:style>
  <w:style w:type="paragraph" w:customStyle="1" w:styleId="184273D3FBF74122AE0BBF559E7A4F7C">
    <w:name w:val="184273D3FBF74122AE0BBF559E7A4F7C"/>
    <w:rsid w:val="00DF7732"/>
  </w:style>
  <w:style w:type="paragraph" w:customStyle="1" w:styleId="71EA405D87944F43886B50E2852F8F39">
    <w:name w:val="71EA405D87944F43886B50E2852F8F39"/>
    <w:rsid w:val="00DF7732"/>
  </w:style>
  <w:style w:type="paragraph" w:customStyle="1" w:styleId="0C12C389272F4B37891C0E35EB63AD81">
    <w:name w:val="0C12C389272F4B37891C0E35EB63AD81"/>
    <w:rsid w:val="00DF7732"/>
  </w:style>
  <w:style w:type="paragraph" w:customStyle="1" w:styleId="580C908CBB4A4EED977BE6375EF58C85">
    <w:name w:val="580C908CBB4A4EED977BE6375EF58C85"/>
    <w:rsid w:val="00DF77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5F1499-5F2C-4C35-A319-3FA918E6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4</cp:revision>
  <dcterms:created xsi:type="dcterms:W3CDTF">2020-05-15T08:56:00Z</dcterms:created>
  <dcterms:modified xsi:type="dcterms:W3CDTF">2020-05-15T10:10:00Z</dcterms:modified>
</cp:coreProperties>
</file>