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4"/>
          <w:szCs w:val="24"/>
        </w:rPr>
        <w:t>NAME:</w:t>
      </w:r>
      <w:r>
        <w:rPr>
          <w:rFonts w:ascii="Times New Roman" w:cs="Times New Roman" w:hAnsi="Times New Roman"/>
          <w:sz w:val="24"/>
          <w:szCs w:val="24"/>
        </w:rPr>
        <w:t xml:space="preserve"> ADEOLA – BELLO HALIMA OLUWATOBI</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MATRIC NUMBER :17/LAW</w:t>
      </w:r>
      <w:r>
        <w:rPr>
          <w:rFonts w:ascii="Times New Roman" w:cs="Times New Roman" w:hAnsi="Times New Roman"/>
          <w:b/>
          <w:sz w:val="24"/>
          <w:szCs w:val="24"/>
        </w:rPr>
        <w:t>01/299</w:t>
      </w:r>
    </w:p>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4"/>
          <w:szCs w:val="24"/>
        </w:rPr>
        <w:t>LEVEL:</w:t>
      </w:r>
      <w:r>
        <w:rPr>
          <w:rFonts w:ascii="Times New Roman" w:cs="Times New Roman" w:hAnsi="Times New Roman"/>
          <w:sz w:val="24"/>
          <w:szCs w:val="24"/>
        </w:rPr>
        <w:t xml:space="preserve"> 400</w:t>
      </w:r>
    </w:p>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4"/>
          <w:szCs w:val="24"/>
        </w:rPr>
        <w:t>COURSE CODE</w:t>
      </w:r>
      <w:r>
        <w:rPr>
          <w:rFonts w:ascii="Times New Roman" w:cs="Times New Roman" w:hAnsi="Times New Roman"/>
          <w:sz w:val="24"/>
          <w:szCs w:val="24"/>
        </w:rPr>
        <w:t xml:space="preserve">: </w:t>
      </w:r>
      <w:r>
        <w:rPr>
          <w:rFonts w:ascii="Times New Roman" w:cs="Times New Roman" w:hAnsi="Times New Roman"/>
          <w:sz w:val="24"/>
          <w:szCs w:val="24"/>
        </w:rPr>
        <w:t>LPB 402</w:t>
      </w:r>
    </w:p>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4"/>
          <w:szCs w:val="24"/>
        </w:rPr>
        <w:t>COURSE TITLE</w:t>
      </w:r>
      <w:r>
        <w:rPr>
          <w:rFonts w:ascii="Times New Roman" w:cs="Times New Roman" w:hAnsi="Times New Roman"/>
          <w:sz w:val="24"/>
          <w:szCs w:val="24"/>
        </w:rPr>
        <w:t>: LAND LAW II</w:t>
      </w:r>
    </w:p>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4"/>
          <w:szCs w:val="24"/>
        </w:rPr>
        <w:t>LECTURER</w:t>
      </w:r>
      <w:r>
        <w:rPr>
          <w:rFonts w:ascii="Times New Roman" w:cs="Times New Roman" w:hAnsi="Times New Roman"/>
          <w:sz w:val="24"/>
          <w:szCs w:val="24"/>
        </w:rPr>
        <w:t xml:space="preserve">: DR. OLUBIYI </w:t>
      </w:r>
      <w:r>
        <w:rPr>
          <w:rFonts w:ascii="Times New Roman" w:cs="Times New Roman" w:hAnsi="Times New Roman"/>
          <w:sz w:val="24"/>
          <w:szCs w:val="24"/>
        </w:rPr>
        <w:t>IFEOLUWA</w:t>
      </w:r>
    </w:p>
    <w:p>
      <w:pPr>
        <w:pStyle w:val="style0"/>
        <w:spacing w:after="0" w:lineRule="auto" w:line="24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ANSWER:</w:t>
      </w:r>
      <w:r>
        <w:rPr>
          <w:rFonts w:ascii="Times New Roman" w:cs="Times New Roman" w:hAnsi="Times New Roman"/>
          <w:b/>
          <w:sz w:val="24"/>
          <w:szCs w:val="24"/>
          <w:u w:val="single"/>
        </w:rPr>
        <w:t xml:space="preserve"> </w:t>
      </w:r>
    </w:p>
    <w:p>
      <w:pPr>
        <w:pStyle w:val="style0"/>
        <w:spacing w:after="0" w:lineRule="auto" w:line="360"/>
        <w:jc w:val="both"/>
        <w:rPr>
          <w:rFonts w:ascii="Times New Roman" w:cs="Times New Roman" w:hAnsi="Times New Roman"/>
          <w:b/>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LEGAL ISSUE:</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Whether the actions of the governor of kuzuland is in breach of the provisions of the Quarantine law, executive order, constitution and Land Use Act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RU</w:t>
      </w:r>
      <w:r>
        <w:rPr>
          <w:rFonts w:ascii="Times New Roman" w:cs="Times New Roman" w:hAnsi="Times New Roman"/>
          <w:b/>
          <w:sz w:val="24"/>
          <w:szCs w:val="24"/>
        </w:rPr>
        <w:t>LES</w:t>
      </w:r>
      <w:r>
        <w:rPr>
          <w:rFonts w:ascii="Times New Roman" w:cs="Times New Roman" w:hAnsi="Times New Roman"/>
          <w:b/>
          <w:sz w:val="24"/>
          <w:szCs w:val="24"/>
        </w:rPr>
        <w:t xml:space="preserve"> AND APPLICATION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Section 1 of the land use act</w:t>
      </w:r>
      <w:r>
        <w:rPr>
          <w:rFonts w:ascii="Times New Roman" w:cs="Times New Roman" w:hAnsi="Times New Roman"/>
          <w:sz w:val="24"/>
          <w:szCs w:val="24"/>
        </w:rPr>
        <w:t xml:space="preserve"> </w:t>
      </w:r>
      <w:r>
        <w:rPr>
          <w:rFonts w:ascii="Times New Roman" w:cs="Times New Roman" w:hAnsi="Times New Roman"/>
          <w:b/>
          <w:sz w:val="24"/>
          <w:szCs w:val="24"/>
        </w:rPr>
        <w:t>1978</w:t>
      </w:r>
      <w:r>
        <w:rPr>
          <w:rFonts w:ascii="Times New Roman" w:cs="Times New Roman" w:hAnsi="Times New Roman"/>
          <w:sz w:val="24"/>
          <w:szCs w:val="24"/>
        </w:rPr>
        <w:t xml:space="preserve"> vests the title of land comprised in the territory of each sta</w:t>
      </w:r>
      <w:r>
        <w:rPr>
          <w:rFonts w:ascii="Times New Roman" w:cs="Times New Roman" w:hAnsi="Times New Roman"/>
          <w:sz w:val="24"/>
          <w:szCs w:val="24"/>
        </w:rPr>
        <w:t>t</w:t>
      </w:r>
      <w:r>
        <w:rPr>
          <w:rFonts w:ascii="Times New Roman" w:cs="Times New Roman" w:hAnsi="Times New Roman"/>
          <w:sz w:val="24"/>
          <w:szCs w:val="24"/>
        </w:rPr>
        <w:t>e</w:t>
      </w:r>
      <w:r>
        <w:rPr>
          <w:rFonts w:ascii="Times New Roman" w:cs="Times New Roman" w:hAnsi="Times New Roman"/>
          <w:sz w:val="24"/>
          <w:szCs w:val="24"/>
        </w:rPr>
        <w:t xml:space="preserve"> in the governor of the state</w:t>
      </w:r>
      <w:r>
        <w:rPr>
          <w:rFonts w:ascii="Times New Roman" w:cs="Times New Roman" w:hAnsi="Times New Roman"/>
          <w:sz w:val="24"/>
          <w:szCs w:val="24"/>
        </w:rPr>
        <w:t xml:space="preserve"> to be held </w:t>
      </w:r>
      <w:r>
        <w:rPr>
          <w:rFonts w:ascii="Times New Roman" w:cs="Times New Roman" w:hAnsi="Times New Roman"/>
          <w:sz w:val="24"/>
          <w:szCs w:val="24"/>
        </w:rPr>
        <w:t xml:space="preserve">in rust and administered for the benefit of every Nigerian. This was explicitly stated in the case of </w:t>
      </w:r>
      <w:r>
        <w:rPr>
          <w:rFonts w:ascii="Times New Roman" w:cs="Times New Roman" w:hAnsi="Times New Roman"/>
          <w:b/>
          <w:sz w:val="24"/>
          <w:szCs w:val="24"/>
        </w:rPr>
        <w:t>Usman v Garke</w:t>
      </w:r>
      <w:r>
        <w:rPr>
          <w:rFonts w:ascii="Times New Roman" w:cs="Times New Roman" w:hAnsi="Times New Roman"/>
          <w:b/>
          <w:sz w:val="24"/>
          <w:szCs w:val="24"/>
        </w:rPr>
        <w:t xml:space="preserve">. </w:t>
      </w:r>
      <w:r>
        <w:rPr>
          <w:rFonts w:ascii="Times New Roman" w:cs="Times New Roman" w:hAnsi="Times New Roman"/>
          <w:sz w:val="24"/>
          <w:szCs w:val="24"/>
        </w:rPr>
        <w:t xml:space="preserve">The governor holds only nominal ownership of land and is not beneficially entitled to the land vested in him. </w:t>
      </w:r>
      <w:r>
        <w:rPr>
          <w:rFonts w:ascii="Times New Roman" w:cs="Times New Roman" w:hAnsi="Times New Roman"/>
          <w:sz w:val="24"/>
          <w:szCs w:val="24"/>
        </w:rPr>
        <w:t>The Land Use Act allows for individuals and organization</w:t>
      </w:r>
      <w:r>
        <w:rPr>
          <w:rFonts w:ascii="Times New Roman" w:cs="Times New Roman" w:hAnsi="Times New Roman"/>
          <w:sz w:val="24"/>
          <w:szCs w:val="24"/>
        </w:rPr>
        <w:t xml:space="preserve">s to be granted a right </w:t>
      </w:r>
      <w:r>
        <w:rPr>
          <w:rFonts w:ascii="Times New Roman" w:cs="Times New Roman" w:hAnsi="Times New Roman"/>
          <w:sz w:val="24"/>
          <w:szCs w:val="24"/>
        </w:rPr>
        <w:t xml:space="preserve">of occupancy over land. </w:t>
      </w:r>
      <w:bookmarkStart w:id="0" w:name="_GoBack"/>
      <w:r>
        <w:rPr>
          <w:rFonts w:ascii="Times New Roman" w:cs="Times New Roman" w:hAnsi="Times New Roman"/>
          <w:sz w:val="24"/>
          <w:szCs w:val="24"/>
        </w:rPr>
        <w:t xml:space="preserve">A right of occupancy refers to the right to use and occupy land. </w:t>
      </w:r>
      <w:bookmarkEnd w:id="0"/>
      <w:r>
        <w:rPr>
          <w:rFonts w:ascii="Times New Roman" w:cs="Times New Roman" w:hAnsi="Times New Roman"/>
          <w:sz w:val="24"/>
          <w:szCs w:val="24"/>
        </w:rPr>
        <w:t xml:space="preserve">It is not an absolute title but it is the highest form of interest a person can have in land. </w:t>
      </w:r>
      <w:r>
        <w:rPr>
          <w:rFonts w:ascii="Times New Roman" w:cs="Times New Roman" w:hAnsi="Times New Roman"/>
          <w:b/>
          <w:sz w:val="24"/>
          <w:szCs w:val="24"/>
        </w:rPr>
        <w:t>By Section 5(1) (a</w:t>
      </w:r>
      <w:r>
        <w:rPr>
          <w:rFonts w:ascii="Times New Roman" w:cs="Times New Roman" w:hAnsi="Times New Roman"/>
          <w:sz w:val="24"/>
          <w:szCs w:val="24"/>
        </w:rPr>
        <w:t>) of the Act, it shall be lawful for the governor to grant statutory rights of occupancy in respect of land whether or not in the urban area.</w:t>
      </w:r>
      <w:r>
        <w:rPr>
          <w:rFonts w:ascii="Times New Roman" w:cs="Times New Roman" w:hAnsi="Times New Roman"/>
          <w:sz w:val="24"/>
          <w:szCs w:val="24"/>
        </w:rPr>
        <w:t xml:space="preserve"> By </w:t>
      </w:r>
      <w:r>
        <w:rPr>
          <w:rFonts w:ascii="Times New Roman" w:cs="Times New Roman" w:hAnsi="Times New Roman"/>
          <w:sz w:val="24"/>
          <w:szCs w:val="24"/>
        </w:rPr>
        <w:t>virtue of</w:t>
      </w:r>
      <w:r>
        <w:rPr>
          <w:rFonts w:ascii="Times New Roman" w:cs="Times New Roman" w:hAnsi="Times New Roman"/>
          <w:sz w:val="24"/>
          <w:szCs w:val="24"/>
        </w:rPr>
        <w:t xml:space="preserve"> </w:t>
      </w:r>
      <w:r>
        <w:rPr>
          <w:rFonts w:ascii="Times New Roman" w:cs="Times New Roman" w:hAnsi="Times New Roman"/>
          <w:b/>
          <w:sz w:val="24"/>
          <w:szCs w:val="24"/>
        </w:rPr>
        <w:t>Section 5 (2)</w:t>
      </w:r>
      <w:r>
        <w:rPr>
          <w:rFonts w:ascii="Times New Roman" w:cs="Times New Roman" w:hAnsi="Times New Roman"/>
          <w:sz w:val="24"/>
          <w:szCs w:val="24"/>
        </w:rPr>
        <w:t>,</w:t>
      </w:r>
      <w:r>
        <w:rPr>
          <w:rFonts w:ascii="Times New Roman" w:cs="Times New Roman" w:hAnsi="Times New Roman"/>
          <w:sz w:val="24"/>
          <w:szCs w:val="24"/>
        </w:rPr>
        <w:t xml:space="preserve"> once a statutory right of occupancy is granted, every other interests in such land is extinguished. </w:t>
      </w:r>
      <w:r>
        <w:rPr>
          <w:rFonts w:ascii="Times New Roman" w:cs="Times New Roman" w:hAnsi="Times New Roman"/>
          <w:sz w:val="24"/>
          <w:szCs w:val="24"/>
        </w:rPr>
        <w:t xml:space="preserve">This was the position of the supreme court in the case of </w:t>
      </w:r>
      <w:r>
        <w:rPr>
          <w:rFonts w:ascii="Times New Roman" w:cs="Times New Roman" w:hAnsi="Times New Roman"/>
          <w:b/>
          <w:sz w:val="24"/>
          <w:szCs w:val="24"/>
        </w:rPr>
        <w:t>S.O Adole v Boniface B. Gwar (2008)</w:t>
      </w:r>
      <w:r>
        <w:rPr>
          <w:rFonts w:ascii="Times New Roman" w:cs="Times New Roman" w:hAnsi="Times New Roman"/>
          <w:b/>
          <w:sz w:val="24"/>
          <w:szCs w:val="24"/>
        </w:rPr>
        <w:t xml:space="preserve"> 11NWLR </w:t>
      </w:r>
      <w:r>
        <w:rPr>
          <w:rFonts w:ascii="Times New Roman" w:cs="Times New Roman" w:hAnsi="Times New Roman"/>
          <w:b/>
          <w:sz w:val="24"/>
          <w:szCs w:val="24"/>
        </w:rPr>
        <w:t>(pt 109) 562</w:t>
      </w:r>
      <w:r>
        <w:rPr>
          <w:rFonts w:ascii="Times New Roman" w:cs="Times New Roman" w:hAnsi="Times New Roman"/>
          <w:sz w:val="24"/>
          <w:szCs w:val="24"/>
        </w:rPr>
        <w:t xml:space="preserve">. Also in the case of </w:t>
      </w:r>
      <w:r>
        <w:rPr>
          <w:rFonts w:ascii="Times New Roman" w:cs="Times New Roman" w:hAnsi="Times New Roman"/>
          <w:b/>
          <w:sz w:val="24"/>
          <w:szCs w:val="24"/>
        </w:rPr>
        <w:t>SPDCN Ltd v Amadi(2010)</w:t>
      </w:r>
      <w:r>
        <w:rPr>
          <w:rFonts w:ascii="Times New Roman" w:cs="Times New Roman" w:hAnsi="Times New Roman"/>
          <w:sz w:val="24"/>
          <w:szCs w:val="24"/>
        </w:rPr>
        <w:t xml:space="preserve">  Though</w:t>
      </w:r>
      <w:r>
        <w:rPr>
          <w:rFonts w:ascii="Times New Roman" w:cs="Times New Roman" w:hAnsi="Times New Roman"/>
          <w:sz w:val="24"/>
          <w:szCs w:val="24"/>
        </w:rPr>
        <w:t xml:space="preserve"> it is said that this provision should not be interpreted literally as </w:t>
      </w:r>
      <w:r>
        <w:rPr>
          <w:rFonts w:ascii="Times New Roman" w:cs="Times New Roman" w:hAnsi="Times New Roman"/>
          <w:sz w:val="24"/>
          <w:szCs w:val="24"/>
        </w:rPr>
        <w:t xml:space="preserve">such interpretation would contravene the intendment of the law </w:t>
      </w:r>
      <w:r>
        <w:rPr>
          <w:rFonts w:ascii="Times New Roman" w:cs="Times New Roman" w:hAnsi="Times New Roman"/>
          <w:sz w:val="24"/>
          <w:szCs w:val="24"/>
        </w:rPr>
        <w:t>maker</w:t>
      </w:r>
      <w:r>
        <w:rPr>
          <w:rFonts w:ascii="Times New Roman" w:cs="Times New Roman" w:hAnsi="Times New Roman"/>
          <w:sz w:val="24"/>
          <w:szCs w:val="24"/>
        </w:rPr>
        <w:t xml:space="preserve">. </w:t>
      </w:r>
      <w:r>
        <w:rPr>
          <w:rFonts w:ascii="Times New Roman" w:cs="Times New Roman" w:hAnsi="Times New Roman"/>
          <w:sz w:val="24"/>
          <w:szCs w:val="24"/>
        </w:rPr>
        <w:t xml:space="preserve">A right of occupancy since its not absolute can be terminated in a number of ways which includes effluxion of time, surrender by the holder of such rights </w:t>
      </w:r>
      <w:r>
        <w:rPr>
          <w:rFonts w:ascii="Times New Roman" w:cs="Times New Roman" w:hAnsi="Times New Roman"/>
          <w:b/>
          <w:sz w:val="24"/>
          <w:szCs w:val="24"/>
        </w:rPr>
        <w:t>(Section 27 Land Use Act),</w:t>
      </w:r>
      <w:r>
        <w:rPr>
          <w:rFonts w:ascii="Times New Roman" w:cs="Times New Roman" w:hAnsi="Times New Roman"/>
          <w:sz w:val="24"/>
          <w:szCs w:val="24"/>
        </w:rPr>
        <w:t xml:space="preserve"> forefeiture and by revocation.</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Section 28</w:t>
      </w:r>
      <w:r>
        <w:rPr>
          <w:rFonts w:ascii="Times New Roman" w:cs="Times New Roman" w:hAnsi="Times New Roman"/>
          <w:sz w:val="24"/>
          <w:szCs w:val="24"/>
        </w:rPr>
        <w:t xml:space="preserve"> provides that a right of occupancy may be revoked by the governor for overriding public interest. </w:t>
      </w:r>
      <w:r>
        <w:rPr>
          <w:rFonts w:ascii="Times New Roman" w:cs="Times New Roman" w:hAnsi="Times New Roman"/>
          <w:b/>
          <w:sz w:val="24"/>
          <w:szCs w:val="24"/>
        </w:rPr>
        <w:t>Section 28 (2</w:t>
      </w:r>
      <w:r>
        <w:rPr>
          <w:rFonts w:ascii="Times New Roman" w:cs="Times New Roman" w:hAnsi="Times New Roman"/>
          <w:sz w:val="24"/>
          <w:szCs w:val="24"/>
        </w:rPr>
        <w:t>) goes further to define overriding public interest as:</w:t>
      </w:r>
    </w:p>
    <w:p>
      <w:pPr>
        <w:pStyle w:val="style0"/>
        <w:spacing w:after="0" w:lineRule="auto" w:line="360"/>
        <w:jc w:val="both"/>
        <w:rPr>
          <w:rFonts w:ascii="Times New Roman" w:cs="Times New Roman" w:hAnsi="Times New Roman"/>
          <w:b/>
          <w:i/>
          <w:sz w:val="20"/>
          <w:szCs w:val="20"/>
        </w:rPr>
      </w:pPr>
      <w:r>
        <w:rPr>
          <w:rFonts w:ascii="Times New Roman" w:cs="Times New Roman" w:hAnsi="Times New Roman"/>
          <w:b/>
          <w:i/>
          <w:sz w:val="20"/>
          <w:szCs w:val="20"/>
        </w:rPr>
        <w:t xml:space="preserve">(a)the alienation by the occupier by assignment, mortgage, transfer of possession, sublease, or otherwise of any right of occupancy or part thereof contrary to the provisions of this Act or of any regulations made thereunder;  </w:t>
      </w:r>
    </w:p>
    <w:p>
      <w:pPr>
        <w:pStyle w:val="style0"/>
        <w:spacing w:after="0" w:lineRule="auto" w:line="360"/>
        <w:jc w:val="both"/>
        <w:rPr>
          <w:rFonts w:ascii="Times New Roman" w:cs="Times New Roman" w:hAnsi="Times New Roman"/>
          <w:b/>
          <w:i/>
          <w:sz w:val="20"/>
          <w:szCs w:val="20"/>
        </w:rPr>
      </w:pPr>
      <w:r>
        <w:rPr>
          <w:rFonts w:ascii="Times New Roman" w:cs="Times New Roman" w:hAnsi="Times New Roman"/>
          <w:b/>
          <w:i/>
          <w:sz w:val="20"/>
          <w:szCs w:val="20"/>
        </w:rPr>
        <w:t xml:space="preserve">(b)  the requirement of the land by the Government of the State or by a Local Government in the State, in either case for public purposes within the State, or the requirement of the land by the Government of the Federation for public purposes of the Federation;   </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i/>
          <w:sz w:val="20"/>
          <w:szCs w:val="20"/>
        </w:rPr>
        <w:t>(c)  the requirement of the land for mining purposes or oil pipelines or for any purpose connected therewith</w:t>
      </w:r>
      <w:r>
        <w:rPr>
          <w:rFonts w:ascii="Times New Roman" w:cs="Times New Roman" w:hAnsi="Times New Roman"/>
          <w:b/>
          <w:sz w:val="24"/>
          <w:szCs w:val="24"/>
        </w:rPr>
        <w:t xml:space="preserve">.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In the case </w:t>
      </w:r>
      <w:r>
        <w:rPr>
          <w:rFonts w:ascii="Times New Roman" w:cs="Times New Roman" w:hAnsi="Times New Roman"/>
          <w:b/>
          <w:sz w:val="24"/>
          <w:szCs w:val="24"/>
        </w:rPr>
        <w:t>of Obi v Minister of FCT (2015),</w:t>
      </w:r>
      <w:r>
        <w:rPr>
          <w:rFonts w:ascii="Times New Roman" w:cs="Times New Roman" w:hAnsi="Times New Roman"/>
          <w:sz w:val="24"/>
          <w:szCs w:val="24"/>
        </w:rPr>
        <w:t xml:space="preserve"> the court held while dismissing the appeal that a sta</w:t>
      </w:r>
      <w:r>
        <w:rPr>
          <w:rFonts w:ascii="Times New Roman" w:cs="Times New Roman" w:hAnsi="Times New Roman"/>
          <w:sz w:val="24"/>
          <w:szCs w:val="24"/>
        </w:rPr>
        <w:t>tutory right of occupancy may be</w:t>
      </w:r>
      <w:r>
        <w:rPr>
          <w:rFonts w:ascii="Times New Roman" w:cs="Times New Roman" w:hAnsi="Times New Roman"/>
          <w:sz w:val="24"/>
          <w:szCs w:val="24"/>
        </w:rPr>
        <w:t xml:space="preserve"> </w:t>
      </w:r>
      <w:r>
        <w:rPr>
          <w:rFonts w:ascii="Times New Roman" w:cs="Times New Roman" w:hAnsi="Times New Roman"/>
          <w:sz w:val="24"/>
          <w:szCs w:val="24"/>
        </w:rPr>
        <w:t>revoked on the following grounds:</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Breach of any of the provisions which a certificate of occupancy is deemed to contain by virtue of Section 10 of the Land Use Act</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Breach of any term contained in the certificate of occupancy or any special contract made under section 8 of the Act</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Refusal or neglect to accept and pay for a certificate which was issued as evidence of a right of occupancy but has been cancelled by the governor</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This ruling is in line with the provisions of Section 28 (5) of the Act.</w:t>
      </w:r>
      <w:r>
        <w:rPr>
          <w:rFonts w:ascii="Times New Roman" w:cs="Times New Roman" w:hAnsi="Times New Roman"/>
          <w:sz w:val="24"/>
          <w:szCs w:val="24"/>
        </w:rPr>
        <w:t xml:space="preserve"> However, for a revocation by the governor to be valid, the purpose must be valid (i;e must be for overriding public interest), valid notice must be issued and served on the holder of such right and adequate compensation must be arranged in line with </w:t>
      </w:r>
      <w:r>
        <w:rPr>
          <w:rFonts w:ascii="Times New Roman" w:cs="Times New Roman" w:hAnsi="Times New Roman"/>
          <w:b/>
          <w:sz w:val="24"/>
          <w:szCs w:val="24"/>
        </w:rPr>
        <w:t>Section 44 of the Constitution of the Federal Republic of Nigeria.</w:t>
      </w:r>
      <w:r>
        <w:rPr>
          <w:rFonts w:ascii="Times New Roman" w:cs="Times New Roman" w:hAnsi="Times New Roman"/>
          <w:b/>
          <w:sz w:val="24"/>
          <w:szCs w:val="24"/>
        </w:rPr>
        <w:t xml:space="preserve"> </w:t>
      </w:r>
      <w:r>
        <w:rPr>
          <w:rFonts w:ascii="Times New Roman" w:cs="Times New Roman" w:hAnsi="Times New Roman"/>
          <w:sz w:val="24"/>
          <w:szCs w:val="24"/>
        </w:rPr>
        <w:t xml:space="preserve">The governor is empowered to revoke only after </w:t>
      </w:r>
      <w:r>
        <w:rPr>
          <w:rFonts w:ascii="Times New Roman" w:cs="Times New Roman" w:hAnsi="Times New Roman"/>
          <w:sz w:val="24"/>
          <w:szCs w:val="24"/>
        </w:rPr>
        <w:t xml:space="preserve">issuing a notice as stated in </w:t>
      </w:r>
      <w:r>
        <w:rPr>
          <w:rFonts w:ascii="Times New Roman" w:cs="Times New Roman" w:hAnsi="Times New Roman"/>
          <w:b/>
          <w:sz w:val="24"/>
          <w:szCs w:val="24"/>
        </w:rPr>
        <w:t>FGN V Rasaki Akande (2013).</w:t>
      </w:r>
      <w:r>
        <w:rPr>
          <w:rFonts w:ascii="Times New Roman" w:cs="Times New Roman" w:hAnsi="Times New Roman"/>
          <w:sz w:val="24"/>
          <w:szCs w:val="24"/>
        </w:rPr>
        <w:t xml:space="preserve"> The notice must state thr public purpose for which the land is required as directed by </w:t>
      </w:r>
      <w:r>
        <w:rPr>
          <w:rFonts w:ascii="Times New Roman" w:cs="Times New Roman" w:hAnsi="Times New Roman"/>
          <w:b/>
          <w:sz w:val="24"/>
          <w:szCs w:val="24"/>
        </w:rPr>
        <w:t>Section 28 (4) (6) of the Act</w:t>
      </w:r>
      <w:r>
        <w:rPr>
          <w:rFonts w:ascii="Times New Roman" w:cs="Times New Roman" w:hAnsi="Times New Roman"/>
          <w:sz w:val="24"/>
          <w:szCs w:val="24"/>
        </w:rPr>
        <w:t xml:space="preserve"> and enunciated in the case of </w:t>
      </w:r>
      <w:r>
        <w:rPr>
          <w:rFonts w:ascii="Times New Roman" w:cs="Times New Roman" w:hAnsi="Times New Roman"/>
          <w:b/>
          <w:sz w:val="24"/>
          <w:szCs w:val="24"/>
        </w:rPr>
        <w:t>LSDPC v FFC</w:t>
      </w:r>
      <w:r>
        <w:rPr>
          <w:rFonts w:ascii="Times New Roman" w:cs="Times New Roman" w:hAnsi="Times New Roman"/>
          <w:b/>
          <w:sz w:val="24"/>
          <w:szCs w:val="24"/>
        </w:rPr>
        <w:t xml:space="preserve">. </w:t>
      </w:r>
      <w:r>
        <w:rPr>
          <w:rFonts w:ascii="Times New Roman" w:cs="Times New Roman" w:hAnsi="Times New Roman"/>
          <w:sz w:val="24"/>
          <w:szCs w:val="24"/>
        </w:rPr>
        <w:t>The mode of service of such n</w:t>
      </w:r>
      <w:r>
        <w:rPr>
          <w:rFonts w:ascii="Times New Roman" w:cs="Times New Roman" w:hAnsi="Times New Roman"/>
          <w:sz w:val="24"/>
          <w:szCs w:val="24"/>
        </w:rPr>
        <w:t xml:space="preserve">otice must also comply with </w:t>
      </w:r>
      <w:r>
        <w:rPr>
          <w:rFonts w:ascii="Times New Roman" w:cs="Times New Roman" w:hAnsi="Times New Roman"/>
          <w:b/>
          <w:sz w:val="24"/>
          <w:szCs w:val="24"/>
        </w:rPr>
        <w:t>Section 44 of the Land Use Act</w:t>
      </w:r>
      <w:r>
        <w:rPr>
          <w:rFonts w:ascii="Times New Roman" w:cs="Times New Roman" w:hAnsi="Times New Roman"/>
          <w:sz w:val="24"/>
          <w:szCs w:val="24"/>
        </w:rPr>
        <w:t xml:space="preserve">. </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sz w:val="24"/>
          <w:szCs w:val="24"/>
        </w:rPr>
        <w:t xml:space="preserve">In the instant case, </w:t>
      </w:r>
      <w:r>
        <w:rPr>
          <w:rFonts w:ascii="Times New Roman" w:cs="Times New Roman" w:hAnsi="Times New Roman"/>
          <w:sz w:val="24"/>
          <w:szCs w:val="24"/>
        </w:rPr>
        <w:t xml:space="preserve">the governor can deomolished Tarzan Hotel which Chief Ajah still had valid interests in as there was no evidence of any determination of his right of occupancy. This goes against provisions of the Land Use Act as clearly stated above and also Section 5 of the Quarantine Law which prescribed fine and imprisonment for default. Furthermore, I am of the view the governor is in breach of Ajah’s right to own immovable property anywhere in Nigeria as provided for in </w:t>
      </w:r>
      <w:r>
        <w:rPr>
          <w:rFonts w:ascii="Times New Roman" w:cs="Times New Roman" w:hAnsi="Times New Roman"/>
          <w:b/>
          <w:sz w:val="24"/>
          <w:szCs w:val="24"/>
        </w:rPr>
        <w:t>Section 44 CFRN 1999</w:t>
      </w:r>
      <w:r>
        <w:rPr>
          <w:rFonts w:ascii="Times New Roman" w:cs="Times New Roman" w:hAnsi="Times New Roman"/>
          <w:b/>
          <w:sz w:val="24"/>
          <w:szCs w:val="24"/>
        </w:rPr>
        <w:t xml:space="preserve">. </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CONCLUSION</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In conclusion, I am of the opinion that Chief Ajah should institute an action in the High Court which is the court granted exclusive jurisdiction by virtue of Section 39 of the act to entertain questions pertaining to land issues in Nigeria as he might have a fair chance of success </w:t>
      </w:r>
      <w:r>
        <w:rPr>
          <w:rFonts w:ascii="Times New Roman" w:cs="Times New Roman" w:hAnsi="Times New Roman"/>
          <w:sz w:val="24"/>
          <w:szCs w:val="24"/>
        </w:rPr>
        <w:t>against the governor.</w:t>
      </w:r>
    </w:p>
    <w:p>
      <w:pPr>
        <w:pStyle w:val="style0"/>
        <w:spacing w:after="0" w:lineRule="auto" w:line="36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1A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F3A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833</Words>
  <Characters>3850</Characters>
  <Application>WPS Office</Application>
  <DocSecurity>0</DocSecurity>
  <Paragraphs>27</Paragraphs>
  <ScaleCrop>false</ScaleCrop>
  <LinksUpToDate>false</LinksUpToDate>
  <CharactersWithSpaces>4674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2020-05-15T10:15:52Z</dcterms:created>
  <dc:creator>HP</dc:creator>
  <lastModifiedBy>TECNO CX Air</lastModifiedBy>
  <dcterms:modified xsi:type="dcterms:W3CDTF">2020-05-15T10:15:52Z</dcterms:modified>
  <revision>9</revision>
</coreProperties>
</file>

<file path=docProps/custom.xml><?xml version="1.0" encoding="utf-8"?>
<Properties xmlns="http://schemas.openxmlformats.org/officeDocument/2006/custom-properties" xmlns:vt="http://schemas.openxmlformats.org/officeDocument/2006/docPropsVTypes"/>
</file>