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7" w:rsidRDefault="00ED7249" w:rsidP="00ED7249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DAVIES KOSISONNA JEFFERY</w:t>
      </w:r>
    </w:p>
    <w:p w:rsidR="00ED7249" w:rsidRDefault="00ED7249" w:rsidP="00ED7249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18/MHS/123</w:t>
      </w:r>
    </w:p>
    <w:p w:rsidR="00ED7249" w:rsidRDefault="00ED7249" w:rsidP="00ED7249">
      <w:pPr>
        <w:rPr>
          <w:rFonts w:ascii="Times New Roman" w:hAnsi="Times New Roman" w:cs="Times New Roman"/>
          <w:sz w:val="48"/>
          <w:szCs w:val="28"/>
        </w:rPr>
      </w:pPr>
    </w:p>
    <w:p w:rsidR="00ED7249" w:rsidRDefault="00ED7249" w:rsidP="00ED7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SECOND WEEK OF EMBRYONIC DEVELOPMENT</w:t>
      </w:r>
    </w:p>
    <w:p w:rsidR="0000320A" w:rsidRDefault="00F545DF" w:rsidP="007E5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second week </w:t>
      </w:r>
      <w:r w:rsidR="00FF613B">
        <w:rPr>
          <w:rFonts w:ascii="Times New Roman" w:hAnsi="Times New Roman" w:cs="Times New Roman"/>
          <w:sz w:val="28"/>
          <w:szCs w:val="28"/>
        </w:rPr>
        <w:t>the following takes place</w:t>
      </w:r>
    </w:p>
    <w:p w:rsidR="00FF613B" w:rsidRDefault="00FF613B" w:rsidP="007E50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Completion of implantation of the blastocyst.</w:t>
      </w:r>
    </w:p>
    <w:p w:rsidR="00FF613B" w:rsidRDefault="00FF613B" w:rsidP="007E50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bilaminar embryonic disc (epiblast and hypoblast).</w:t>
      </w:r>
    </w:p>
    <w:p w:rsidR="00FF613B" w:rsidRDefault="00FF613B" w:rsidP="007E50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extraembryonic structures.</w:t>
      </w:r>
    </w:p>
    <w:p w:rsidR="00AA3510" w:rsidRDefault="00AA3510" w:rsidP="007E508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BF2" w:rsidRDefault="00AA3510" w:rsidP="007E5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Trophoblast is differentiated into two layers;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cytotrophoblast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(inner layer)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syncytotrophoblast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(outer) which produces human chorionic gonadotrophin (</w:t>
      </w:r>
      <w:proofErr w:type="spellStart"/>
      <w:r>
        <w:rPr>
          <w:rFonts w:ascii="Times New Roman" w:hAnsi="Times New Roman" w:cs="Times New Roman"/>
          <w:sz w:val="28"/>
          <w:szCs w:val="28"/>
        </w:rPr>
        <w:t>hCG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syncytotrophoblast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invades the endometrium thereby. The inner cell mass differentiate</w:t>
      </w:r>
      <w:r w:rsidR="00027C9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into hypoblast and epiblast (bilaminar embryonic disc),</w:t>
      </w:r>
      <w:r w:rsidR="00BC6BF2">
        <w:rPr>
          <w:rFonts w:ascii="Times New Roman" w:hAnsi="Times New Roman" w:cs="Times New Roman"/>
          <w:sz w:val="28"/>
          <w:szCs w:val="28"/>
        </w:rPr>
        <w:t xml:space="preserve"> then a small cavity appears in within the epiblast and forms the amniotic cavity. </w:t>
      </w:r>
    </w:p>
    <w:p w:rsidR="00BC6BF2" w:rsidRDefault="00650C03" w:rsidP="007E5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blastocyst goes more deeply into the endometrium and vacuoles appear at the region of the trophoblast and they fuse to form a thin membrane called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exocoelomic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membrane which lines the inner surface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cytotrophoblast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it forms the prima</w:t>
      </w:r>
      <w:r w:rsidR="00473DC7">
        <w:rPr>
          <w:rFonts w:ascii="Times New Roman" w:hAnsi="Times New Roman" w:cs="Times New Roman"/>
          <w:sz w:val="28"/>
          <w:szCs w:val="28"/>
        </w:rPr>
        <w:t>ry yolk sac or prima</w:t>
      </w:r>
      <w:r>
        <w:rPr>
          <w:rFonts w:ascii="Times New Roman" w:hAnsi="Times New Roman" w:cs="Times New Roman"/>
          <w:sz w:val="28"/>
          <w:szCs w:val="28"/>
        </w:rPr>
        <w:t xml:space="preserve">ry umbilical vesicle. </w:t>
      </w:r>
    </w:p>
    <w:p w:rsidR="00B85677" w:rsidRDefault="005C5D92" w:rsidP="007E508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cells of the </w:t>
      </w:r>
      <w:proofErr w:type="spellStart"/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>syncytiotrophoblast</w:t>
      </w:r>
      <w:proofErr w:type="spellEnd"/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penetrate deeper into the stroma(tissue) and erode the endothelial lining of </w:t>
      </w:r>
      <w:proofErr w:type="gramStart"/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>the  endometrial</w:t>
      </w:r>
      <w:proofErr w:type="gramEnd"/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capillaries</w:t>
      </w:r>
      <w:r w:rsidR="001734C7" w:rsidRPr="001734C7">
        <w:rPr>
          <w:rFonts w:ascii="Times New Roman" w:hAnsi="Times New Roman" w:cs="Times New Roman"/>
          <w:sz w:val="28"/>
          <w:szCs w:val="28"/>
        </w:rPr>
        <w:t xml:space="preserve">, </w:t>
      </w: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>These ruptured endometrial capillaries are c</w:t>
      </w: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alled </w:t>
      </w:r>
      <w:r w:rsidRPr="00473D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sinusoids</w:t>
      </w:r>
      <w:r w:rsidR="001734C7" w:rsidRPr="001734C7">
        <w:rPr>
          <w:rFonts w:ascii="Times New Roman" w:hAnsi="Times New Roman" w:cs="Times New Roman"/>
          <w:sz w:val="28"/>
          <w:szCs w:val="28"/>
        </w:rPr>
        <w:t xml:space="preserve"> </w:t>
      </w: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lacunae then begin to communicate with the sinusoids, and </w:t>
      </w: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>maternal blood enters the lacunar system</w:t>
      </w:r>
      <w:r w:rsidR="001734C7">
        <w:rPr>
          <w:rFonts w:ascii="Times New Roman" w:hAnsi="Times New Roman" w:cs="Times New Roman"/>
          <w:sz w:val="28"/>
          <w:szCs w:val="28"/>
        </w:rPr>
        <w:t xml:space="preserve"> </w:t>
      </w:r>
      <w:r w:rsidRPr="001734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communication of the eroded endometrial capillaries with the lacunae establishes the </w:t>
      </w:r>
      <w:r w:rsidRPr="00473DC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primordial </w:t>
      </w:r>
      <w:proofErr w:type="spellStart"/>
      <w:r w:rsidRPr="00473D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uteroplacental</w:t>
      </w:r>
      <w:proofErr w:type="spellEnd"/>
      <w:r w:rsidRPr="00473DC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circulation</w:t>
      </w:r>
      <w:r w:rsidR="007E5084">
        <w:rPr>
          <w:rFonts w:ascii="Times New Roman" w:hAnsi="Times New Roman" w:cs="Times New Roman"/>
          <w:sz w:val="28"/>
          <w:szCs w:val="28"/>
        </w:rPr>
        <w:t xml:space="preserve">. </w:t>
      </w:r>
      <w:r w:rsidRPr="00473DC7">
        <w:rPr>
          <w:rFonts w:ascii="Times New Roman" w:hAnsi="Times New Roman" w:cs="Times New Roman"/>
          <w:iCs/>
          <w:sz w:val="28"/>
          <w:szCs w:val="28"/>
          <w:lang w:val="en-US"/>
        </w:rPr>
        <w:t>When matern</w:t>
      </w:r>
      <w:r w:rsidR="00473D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al blood flows into the lacunae, </w:t>
      </w:r>
      <w:r w:rsidRPr="00473DC7">
        <w:rPr>
          <w:rFonts w:ascii="Times New Roman" w:hAnsi="Times New Roman" w:cs="Times New Roman"/>
          <w:iCs/>
          <w:sz w:val="28"/>
          <w:szCs w:val="28"/>
          <w:lang w:val="en-US"/>
        </w:rPr>
        <w:t>oxyg</w:t>
      </w:r>
      <w:r w:rsidRPr="00473DC7">
        <w:rPr>
          <w:rFonts w:ascii="Times New Roman" w:hAnsi="Times New Roman" w:cs="Times New Roman"/>
          <w:iCs/>
          <w:sz w:val="28"/>
          <w:szCs w:val="28"/>
          <w:lang w:val="en-US"/>
        </w:rPr>
        <w:t>en and nutritive substances</w:t>
      </w:r>
      <w:r w:rsidRPr="00473DC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 </w:t>
      </w:r>
      <w:r w:rsidRPr="00473DC7">
        <w:rPr>
          <w:rFonts w:ascii="Times New Roman" w:hAnsi="Times New Roman" w:cs="Times New Roman"/>
          <w:iCs/>
          <w:sz w:val="28"/>
          <w:szCs w:val="28"/>
          <w:lang w:val="en-US"/>
        </w:rPr>
        <w:t>are available to the embryo</w:t>
      </w:r>
      <w:r w:rsidR="00473DC7">
        <w:rPr>
          <w:rFonts w:ascii="Times New Roman" w:hAnsi="Times New Roman" w:cs="Times New Roman"/>
          <w:sz w:val="28"/>
          <w:szCs w:val="28"/>
        </w:rPr>
        <w:t>.</w:t>
      </w:r>
      <w:r w:rsidR="007E5084">
        <w:rPr>
          <w:rFonts w:ascii="Times New Roman" w:hAnsi="Times New Roman" w:cs="Times New Roman"/>
          <w:sz w:val="28"/>
          <w:szCs w:val="28"/>
        </w:rPr>
        <w:t xml:space="preserve">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 new population of cells appears between the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inner surface of the</w:t>
      </w:r>
      <w:r w:rsidRPr="007E5084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E5084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cytotrophoblast</w:t>
      </w:r>
      <w:proofErr w:type="spellEnd"/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the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outer surface of the </w:t>
      </w:r>
      <w:proofErr w:type="spellStart"/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exocoelomic</w:t>
      </w:r>
      <w:proofErr w:type="spellEnd"/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cavity</w:t>
      </w:r>
      <w:r w:rsidR="007E5084">
        <w:rPr>
          <w:rFonts w:ascii="Times New Roman" w:hAnsi="Times New Roman" w:cs="Times New Roman"/>
          <w:sz w:val="28"/>
          <w:szCs w:val="28"/>
        </w:rPr>
        <w:t xml:space="preserve">.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These cells which are derived from yolk sac cells form a fine, loose connective tissue called the 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mesoderm</w:t>
      </w:r>
      <w:r w:rsidR="007E5084">
        <w:rPr>
          <w:rFonts w:ascii="Times New Roman" w:hAnsi="Times New Roman" w:cs="Times New Roman"/>
          <w:sz w:val="28"/>
          <w:szCs w:val="28"/>
        </w:rPr>
        <w:t xml:space="preserve">.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Soon, large cavities develop in the extraembryonic mesoderm, and when these become confluent, they form a new space known as the 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cavity</w:t>
      </w:r>
      <w:r w:rsidRPr="007E50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,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7E50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chorionic cavity</w:t>
      </w:r>
      <w:r w:rsidRPr="007E50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 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coelom</w:t>
      </w:r>
      <w:r w:rsidR="007E5084">
        <w:rPr>
          <w:rFonts w:ascii="Times New Roman" w:hAnsi="Times New Roman" w:cs="Times New Roman"/>
          <w:sz w:val="28"/>
          <w:szCs w:val="28"/>
        </w:rPr>
        <w:t xml:space="preserve">.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This space surrounds the primitive yolk sac and amniotic cavity, except where the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germ disc is connected to the trophoblast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by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</w:t>
      </w:r>
      <w:r w:rsidR="007E5084">
        <w:rPr>
          <w:rFonts w:ascii="Times New Roman" w:hAnsi="Times New Roman" w:cs="Times New Roman"/>
          <w:iCs/>
          <w:sz w:val="28"/>
          <w:szCs w:val="28"/>
          <w:lang w:val="en-US"/>
        </w:rPr>
        <w:t>connecting stalk (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which develops into the umbilical cord)</w:t>
      </w:r>
      <w:r w:rsidR="007E5084">
        <w:rPr>
          <w:rFonts w:ascii="Times New Roman" w:hAnsi="Times New Roman" w:cs="Times New Roman"/>
          <w:sz w:val="28"/>
          <w:szCs w:val="28"/>
        </w:rPr>
        <w:t xml:space="preserve">.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extraembryonic mesoderm lining the </w:t>
      </w:r>
      <w:proofErr w:type="spellStart"/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>cytotrophoblast</w:t>
      </w:r>
      <w:proofErr w:type="spellEnd"/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amnion is called the </w:t>
      </w:r>
      <w:r w:rsid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extraembryonic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somatic mesoderm</w:t>
      </w:r>
      <w:r w:rsid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7E5084">
        <w:rPr>
          <w:rFonts w:ascii="Times New Roman" w:hAnsi="Times New Roman" w:cs="Times New Roman"/>
          <w:sz w:val="28"/>
          <w:szCs w:val="28"/>
        </w:rPr>
        <w:t xml:space="preserve"> </w:t>
      </w:r>
      <w:r w:rsid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somatic mesoderm also forms the connecting</w:t>
      </w:r>
      <w:r w:rsidRPr="007E50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stalk</w:t>
      </w:r>
      <w:r w:rsidRPr="007E50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7E50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084">
        <w:rPr>
          <w:rFonts w:ascii="Times New Roman" w:hAnsi="Times New Roman" w:cs="Times New Roman"/>
          <w:sz w:val="28"/>
          <w:szCs w:val="28"/>
        </w:rPr>
        <w:t xml:space="preserve"> </w:t>
      </w:r>
      <w:r w:rsidR="007E5084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7E508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lining covering the yolk sac is known as the </w:t>
      </w:r>
      <w:r w:rsidRPr="007E50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splanchnic mesoderm</w:t>
      </w:r>
      <w:r w:rsidR="00B856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B85677" w:rsidRPr="00B85677" w:rsidRDefault="00B85677" w:rsidP="007E508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bookmarkStart w:id="0" w:name="_GoBack"/>
      <w:bookmarkEnd w:id="0"/>
    </w:p>
    <w:p w:rsidR="005C5D92" w:rsidRPr="007E5084" w:rsidRDefault="005C5D92" w:rsidP="007E5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5D92" w:rsidRPr="007E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D9E"/>
    <w:multiLevelType w:val="hybridMultilevel"/>
    <w:tmpl w:val="24B24564"/>
    <w:lvl w:ilvl="0" w:tplc="96AA8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C4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C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CD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0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0A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F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5F06"/>
    <w:multiLevelType w:val="hybridMultilevel"/>
    <w:tmpl w:val="895040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3721"/>
    <w:multiLevelType w:val="hybridMultilevel"/>
    <w:tmpl w:val="7D268C64"/>
    <w:lvl w:ilvl="0" w:tplc="66F6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2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A2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A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A17E27"/>
    <w:multiLevelType w:val="hybridMultilevel"/>
    <w:tmpl w:val="FC6670AE"/>
    <w:lvl w:ilvl="0" w:tplc="4456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C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C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9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9"/>
    <w:rsid w:val="0000320A"/>
    <w:rsid w:val="00027C90"/>
    <w:rsid w:val="001734C7"/>
    <w:rsid w:val="00384AB7"/>
    <w:rsid w:val="00473DC7"/>
    <w:rsid w:val="004D67A3"/>
    <w:rsid w:val="005C5D92"/>
    <w:rsid w:val="00650C03"/>
    <w:rsid w:val="007E5084"/>
    <w:rsid w:val="00AA3510"/>
    <w:rsid w:val="00B85677"/>
    <w:rsid w:val="00BC6BF2"/>
    <w:rsid w:val="00D47F92"/>
    <w:rsid w:val="00D53201"/>
    <w:rsid w:val="00ED7249"/>
    <w:rsid w:val="00F545DF"/>
    <w:rsid w:val="00F56956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2B72"/>
  <w15:chartTrackingRefBased/>
  <w15:docId w15:val="{0D7F5CEF-ADE2-4D9A-8BBB-CC7343F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DAVIES</dc:creator>
  <cp:keywords/>
  <dc:description/>
  <cp:lastModifiedBy>JEFFERY DAVIES</cp:lastModifiedBy>
  <cp:revision>1</cp:revision>
  <dcterms:created xsi:type="dcterms:W3CDTF">2020-05-15T17:26:00Z</dcterms:created>
  <dcterms:modified xsi:type="dcterms:W3CDTF">2020-05-15T21:57:00Z</dcterms:modified>
</cp:coreProperties>
</file>