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A5" w:rsidRPr="0072616B" w:rsidRDefault="00392D0C">
      <w:pPr>
        <w:rPr>
          <w:sz w:val="36"/>
          <w:szCs w:val="36"/>
        </w:rPr>
      </w:pPr>
      <w:r w:rsidRPr="0072616B">
        <w:rPr>
          <w:sz w:val="36"/>
          <w:szCs w:val="36"/>
        </w:rPr>
        <w:t>18/MHS06/042</w:t>
      </w:r>
    </w:p>
    <w:p w:rsidR="00392D0C" w:rsidRPr="0072616B" w:rsidRDefault="00392D0C">
      <w:pPr>
        <w:rPr>
          <w:sz w:val="36"/>
          <w:szCs w:val="36"/>
        </w:rPr>
      </w:pPr>
      <w:r w:rsidRPr="0072616B">
        <w:rPr>
          <w:sz w:val="36"/>
          <w:szCs w:val="36"/>
        </w:rPr>
        <w:t>ONWUMA CHIBUOGWU OBI</w:t>
      </w:r>
    </w:p>
    <w:p w:rsidR="00392D0C" w:rsidRDefault="00392D0C"/>
    <w:p w:rsidR="00392D0C" w:rsidRDefault="00392D0C">
      <w:r>
        <w:t>TOXICITY VALUES AND DEFICIENCY MANIFESTATION OF THE FOLLOWING MINERALS;</w:t>
      </w:r>
    </w:p>
    <w:p w:rsidR="00392D0C" w:rsidRDefault="00392D0C">
      <w:proofErr w:type="gramStart"/>
      <w:r>
        <w:t>1.</w:t>
      </w:r>
      <w:r w:rsidRPr="0072616B">
        <w:rPr>
          <w:u w:val="single"/>
        </w:rPr>
        <w:t>POTASSIUM</w:t>
      </w:r>
      <w:proofErr w:type="gramEnd"/>
      <w:r w:rsidRPr="0072616B">
        <w:rPr>
          <w:u w:val="single"/>
        </w:rPr>
        <w:t>:</w:t>
      </w:r>
    </w:p>
    <w:p w:rsidR="00392D0C" w:rsidRDefault="00392D0C" w:rsidP="00392D0C">
      <w:r>
        <w:t>TOXICITY VALUE:</w:t>
      </w:r>
      <w:r w:rsidRPr="00392D0C">
        <w:t xml:space="preserve"> </w:t>
      </w:r>
    </w:p>
    <w:p w:rsidR="00392D0C" w:rsidRDefault="00392D0C" w:rsidP="00392D0C">
      <w:proofErr w:type="gramStart"/>
      <w:r>
        <w:t>blood</w:t>
      </w:r>
      <w:proofErr w:type="gramEnd"/>
      <w:r>
        <w:t xml:space="preserve"> level higher than 5.0 </w:t>
      </w:r>
      <w:proofErr w:type="spellStart"/>
      <w:r>
        <w:t>mmol</w:t>
      </w:r>
      <w:proofErr w:type="spellEnd"/>
      <w:r>
        <w:t xml:space="preserve"> per liter, </w:t>
      </w:r>
    </w:p>
    <w:p w:rsidR="00392D0C" w:rsidRDefault="00392D0C" w:rsidP="00392D0C">
      <w:r>
        <w:t>DEFICIENCY MANIFESTATION:</w:t>
      </w:r>
      <w:r w:rsidRPr="00392D0C">
        <w:t xml:space="preserve"> </w:t>
      </w:r>
      <w:r>
        <w:t xml:space="preserve">Hypokalemia and hyperkalemia are common electrolyte disorders caused by changes in potassium intake, altered excretion, or </w:t>
      </w:r>
      <w:proofErr w:type="spellStart"/>
      <w:r>
        <w:t>transcellular</w:t>
      </w:r>
      <w:proofErr w:type="spellEnd"/>
      <w:r>
        <w:t xml:space="preserve"> shifts. Diuretic use and gastrointestinal losses are common causes of hypokalemia, whereas kidney disease, hyperglycemia, and medication use are common causes of hyperkalemia. When severe, potassium disorders can lead to life-threatening cardiac conduction disturbances and neuromuscular dysfunction.</w:t>
      </w:r>
    </w:p>
    <w:p w:rsidR="0072616B" w:rsidRDefault="0072616B" w:rsidP="00392D0C"/>
    <w:p w:rsidR="00392D0C" w:rsidRPr="0072616B" w:rsidRDefault="00392D0C" w:rsidP="00392D0C">
      <w:pPr>
        <w:rPr>
          <w:u w:val="single"/>
        </w:rPr>
      </w:pPr>
      <w:proofErr w:type="gramStart"/>
      <w:r>
        <w:t>2)</w:t>
      </w:r>
      <w:r w:rsidRPr="0072616B">
        <w:rPr>
          <w:u w:val="single"/>
        </w:rPr>
        <w:t>CALCIUM</w:t>
      </w:r>
      <w:proofErr w:type="gramEnd"/>
      <w:r w:rsidRPr="0072616B">
        <w:rPr>
          <w:u w:val="single"/>
        </w:rPr>
        <w:t>:</w:t>
      </w:r>
    </w:p>
    <w:p w:rsidR="00392D0C" w:rsidRDefault="00392D0C" w:rsidP="00392D0C">
      <w:pPr>
        <w:rPr>
          <w:rFonts w:ascii="Arial" w:hAnsi="Arial" w:cs="Arial"/>
          <w:color w:val="222222"/>
          <w:shd w:val="clear" w:color="auto" w:fill="FFFFFF"/>
        </w:rPr>
      </w:pPr>
      <w:r>
        <w:t>TOXICITY VALUE:</w:t>
      </w:r>
      <w:r w:rsidRPr="00392D0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Hypercalcemia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occurs when serum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calcium levels</w:t>
      </w:r>
      <w:r>
        <w:rPr>
          <w:rFonts w:ascii="Arial" w:hAnsi="Arial" w:cs="Arial"/>
          <w:color w:val="222222"/>
          <w:shd w:val="clear" w:color="auto" w:fill="FFFFFF"/>
        </w:rPr>
        <w:t> are 10.5 mg/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(also expressed as 2.63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mmol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/L) or greater depending on normative laboratory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values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92D0C" w:rsidRDefault="00392D0C" w:rsidP="00392D0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222222"/>
          <w:shd w:val="clear" w:color="auto" w:fill="FFFFFF"/>
        </w:rPr>
        <w:t>DEFICIENCY MANIFESTATION:</w:t>
      </w:r>
      <w:r w:rsidRPr="00392D0C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Hypocalcemi</w:t>
      </w:r>
      <w:r w:rsidR="00C622B3">
        <w:rPr>
          <w:rFonts w:ascii="Helvetica" w:hAnsi="Helvetica" w:cs="Helvetica"/>
          <w:color w:val="333333"/>
          <w:sz w:val="21"/>
          <w:szCs w:val="21"/>
        </w:rPr>
        <w:t>a</w:t>
      </w:r>
      <w:proofErr w:type="spellEnd"/>
      <w:r w:rsidR="00C622B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Symptoms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hypocalcemia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include numbness and tingling </w:t>
      </w:r>
      <w:r w:rsidR="00C622B3">
        <w:rPr>
          <w:rFonts w:ascii="Helvetica" w:hAnsi="Helvetica" w:cs="Helvetica"/>
          <w:color w:val="333333"/>
          <w:sz w:val="21"/>
          <w:szCs w:val="21"/>
        </w:rPr>
        <w:t>in the fingers</w:t>
      </w:r>
    </w:p>
    <w:p w:rsidR="00C622B3" w:rsidRDefault="00C622B3" w:rsidP="00392D0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ii)</w:t>
      </w:r>
      <w:r w:rsidRPr="00C622B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osteoporosis</w:t>
      </w:r>
      <w:proofErr w:type="gramEnd"/>
    </w:p>
    <w:p w:rsidR="00C622B3" w:rsidRDefault="00C622B3" w:rsidP="00392D0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iii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)Rickets</w:t>
      </w:r>
      <w:bookmarkStart w:id="0" w:name="_GoBack"/>
      <w:bookmarkEnd w:id="0"/>
      <w:proofErr w:type="gramEnd"/>
    </w:p>
    <w:p w:rsidR="0072616B" w:rsidRDefault="0072616B" w:rsidP="00392D0C">
      <w:pPr>
        <w:rPr>
          <w:rFonts w:ascii="Helvetica" w:hAnsi="Helvetica" w:cs="Helvetica"/>
          <w:color w:val="333333"/>
          <w:sz w:val="21"/>
          <w:szCs w:val="21"/>
        </w:rPr>
      </w:pPr>
    </w:p>
    <w:p w:rsidR="00C622B3" w:rsidRDefault="00C622B3" w:rsidP="00392D0C">
      <w:pPr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3)</w:t>
      </w:r>
      <w:r w:rsidRPr="0072616B">
        <w:rPr>
          <w:rFonts w:ascii="Helvetica" w:hAnsi="Helvetica" w:cs="Helvetica"/>
          <w:color w:val="333333"/>
          <w:sz w:val="21"/>
          <w:szCs w:val="21"/>
          <w:u w:val="single"/>
        </w:rPr>
        <w:t>MAGNESIUM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C622B3" w:rsidRDefault="00C622B3" w:rsidP="00392D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t>TOXICITY VALUE:</w:t>
      </w:r>
      <w:r w:rsidRPr="00C622B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develop after serum concentrations exceed 1.74–2.61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mmol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/L</w:t>
      </w:r>
    </w:p>
    <w:p w:rsidR="00C622B3" w:rsidRDefault="00C622B3" w:rsidP="00392D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DEFICIENCY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MANIFESTATION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:hypoparathyroidism</w:t>
      </w:r>
      <w:proofErr w:type="spellEnd"/>
      <w:proofErr w:type="gramEnd"/>
    </w:p>
    <w:p w:rsidR="00C622B3" w:rsidRDefault="00C622B3" w:rsidP="00392D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)spasticity</w:t>
      </w:r>
      <w:proofErr w:type="gramEnd"/>
    </w:p>
    <w:p w:rsidR="00C622B3" w:rsidRDefault="00C622B3" w:rsidP="00392D0C">
      <w:pPr>
        <w:rPr>
          <w:rFonts w:ascii="Arial" w:hAnsi="Arial" w:cs="Arial"/>
          <w:color w:val="222222"/>
          <w:shd w:val="clear" w:color="auto" w:fill="FFFFFF"/>
        </w:rPr>
      </w:pPr>
    </w:p>
    <w:p w:rsidR="00C622B3" w:rsidRDefault="00C622B3" w:rsidP="00392D0C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4)</w:t>
      </w:r>
      <w:r w:rsidRPr="0072616B">
        <w:rPr>
          <w:rFonts w:ascii="Arial" w:hAnsi="Arial" w:cs="Arial"/>
          <w:color w:val="222222"/>
          <w:u w:val="single"/>
          <w:shd w:val="clear" w:color="auto" w:fill="FFFFFF"/>
        </w:rPr>
        <w:t>CHLORIDE</w:t>
      </w:r>
      <w:proofErr w:type="gramEnd"/>
      <w:r w:rsidRPr="0072616B">
        <w:rPr>
          <w:rFonts w:ascii="Arial" w:hAnsi="Arial" w:cs="Arial"/>
          <w:color w:val="222222"/>
          <w:u w:val="single"/>
          <w:shd w:val="clear" w:color="auto" w:fill="FFFFFF"/>
        </w:rPr>
        <w:t>:</w:t>
      </w:r>
    </w:p>
    <w:p w:rsidR="00C622B3" w:rsidRDefault="00C622B3" w:rsidP="00C622B3">
      <w:r>
        <w:rPr>
          <w:rFonts w:ascii="Arial" w:hAnsi="Arial" w:cs="Arial"/>
          <w:color w:val="222222"/>
          <w:shd w:val="clear" w:color="auto" w:fill="FFFFFF"/>
        </w:rPr>
        <w:t>TOXICITY VALUE:</w:t>
      </w:r>
      <w:r w:rsidRPr="00C622B3">
        <w:t xml:space="preserve"> </w:t>
      </w:r>
      <w:r w:rsidR="0072616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100-109</w:t>
      </w:r>
      <w:r w:rsidR="0072616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2616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mEq</w:t>
      </w:r>
      <w:proofErr w:type="spellEnd"/>
      <w:r w:rsidR="0072616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/L.</w:t>
      </w:r>
      <w:r>
        <w:t xml:space="preserve"> </w:t>
      </w:r>
    </w:p>
    <w:p w:rsidR="00C622B3" w:rsidRDefault="00C622B3" w:rsidP="00C62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DEFICIENCY </w:t>
      </w:r>
      <w:proofErr w:type="spellStart"/>
      <w:r>
        <w:rPr>
          <w:rFonts w:ascii="Times New Roman" w:hAnsi="Times New Roman" w:cs="Times New Roman"/>
        </w:rPr>
        <w:t>MANIFESTATION</w:t>
      </w:r>
      <w:proofErr w:type="gramStart"/>
      <w:r>
        <w:rPr>
          <w:rFonts w:ascii="Times New Roman" w:hAnsi="Times New Roman" w:cs="Times New Roman"/>
        </w:rPr>
        <w:t>:Hypochloremia</w:t>
      </w:r>
      <w:proofErr w:type="spellEnd"/>
      <w:proofErr w:type="gramEnd"/>
    </w:p>
    <w:p w:rsidR="0072616B" w:rsidRDefault="0072616B" w:rsidP="00C622B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Symptoms:</w:t>
      </w:r>
      <w:r w:rsidRPr="0072616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Dehydration, fluid loss, or high levels of blood sodium may be noted.</w:t>
      </w:r>
    </w:p>
    <w:p w:rsidR="0072616B" w:rsidRDefault="0072616B" w:rsidP="00C622B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2616B" w:rsidRDefault="0072616B" w:rsidP="00C622B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5)IRON</w:t>
      </w:r>
      <w:proofErr w:type="gramEnd"/>
    </w:p>
    <w:p w:rsidR="0072616B" w:rsidRDefault="0072616B" w:rsidP="00C622B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TOXICITY VALUE:</w:t>
      </w:r>
      <w:r w:rsidRPr="0072616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iron</w:t>
      </w:r>
      <w:r>
        <w:rPr>
          <w:rFonts w:ascii="Arial" w:hAnsi="Arial" w:cs="Arial"/>
          <w:color w:val="222222"/>
          <w:shd w:val="clear" w:color="auto" w:fill="FFFFFF"/>
        </w:rPr>
        <w:t xml:space="preserve"> levels above 350–500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μg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 considered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toxic</w:t>
      </w:r>
      <w:r>
        <w:rPr>
          <w:rFonts w:ascii="Arial" w:hAnsi="Arial" w:cs="Arial"/>
          <w:color w:val="222222"/>
          <w:shd w:val="clear" w:color="auto" w:fill="FFFFFF"/>
        </w:rPr>
        <w:t xml:space="preserve">, and levels over 1000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μg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indicate severe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iron</w:t>
      </w:r>
      <w:r>
        <w:rPr>
          <w:rFonts w:ascii="Arial" w:hAnsi="Arial" w:cs="Arial"/>
          <w:color w:val="222222"/>
          <w:shd w:val="clear" w:color="auto" w:fill="FFFFFF"/>
        </w:rPr>
        <w:t> poisoning.</w:t>
      </w:r>
    </w:p>
    <w:p w:rsidR="0072616B" w:rsidRDefault="0072616B" w:rsidP="00C622B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DEFICIENCY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MANIFESTATION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:Anaemia</w:t>
      </w:r>
      <w:proofErr w:type="spellEnd"/>
      <w:proofErr w:type="gramEnd"/>
    </w:p>
    <w:p w:rsidR="0072616B" w:rsidRDefault="0072616B" w:rsidP="00C622B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Causes:</w:t>
      </w:r>
      <w:r w:rsidRPr="0072616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insufficient dietary intake, or poor absorption of iron from food</w:t>
      </w:r>
    </w:p>
    <w:p w:rsidR="0072616B" w:rsidRPr="00C622B3" w:rsidRDefault="0072616B" w:rsidP="00C622B3">
      <w:pPr>
        <w:rPr>
          <w:rFonts w:ascii="Times New Roman" w:hAnsi="Times New Roman" w:cs="Times New Roman"/>
          <w:sz w:val="36"/>
          <w:szCs w:val="36"/>
        </w:rPr>
      </w:pPr>
    </w:p>
    <w:p w:rsidR="00C622B3" w:rsidRDefault="00C622B3" w:rsidP="00392D0C"/>
    <w:p w:rsidR="00392D0C" w:rsidRDefault="00392D0C" w:rsidP="00392D0C"/>
    <w:p w:rsidR="00392D0C" w:rsidRDefault="00392D0C" w:rsidP="00392D0C"/>
    <w:sectPr w:rsidR="00392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C"/>
    <w:rsid w:val="00392D0C"/>
    <w:rsid w:val="0072616B"/>
    <w:rsid w:val="008F4FA5"/>
    <w:rsid w:val="00C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99662-8850-4791-A902-4775C22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D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22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</dc:creator>
  <cp:keywords/>
  <dc:description/>
  <cp:lastModifiedBy>OBI</cp:lastModifiedBy>
  <cp:revision>1</cp:revision>
  <dcterms:created xsi:type="dcterms:W3CDTF">2020-05-16T17:07:00Z</dcterms:created>
  <dcterms:modified xsi:type="dcterms:W3CDTF">2020-05-16T17:44:00Z</dcterms:modified>
</cp:coreProperties>
</file>