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NAME</w:t>
      </w:r>
      <w:r>
        <w:rPr>
          <w:rFonts w:ascii="Times New Roman" w:cs="Times New Roman" w:hAnsi="Times New Roman"/>
          <w:b/>
          <w:sz w:val="44"/>
          <w:szCs w:val="44"/>
        </w:rPr>
        <w:t>: ADEMOROTI HELEN ADEDOLAPO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MATRIC NO: 18/MHS01</w:t>
      </w:r>
      <w:r>
        <w:rPr>
          <w:rFonts w:ascii="Times New Roman" w:cs="Times New Roman" w:hAnsi="Times New Roman"/>
          <w:b/>
          <w:sz w:val="44"/>
          <w:szCs w:val="44"/>
        </w:rPr>
        <w:t>/019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LEVEL: 200L MEDICINE AND SURGERY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LECTURER: DR. OGEDENGBE OLUWATOSIN OLALEKAN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COUSE NAME: ANATOMY (EMBRYOLOGY)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4"/>
          <w:szCs w:val="44"/>
        </w:rPr>
        <w:t xml:space="preserve">DATE: May </w:t>
      </w:r>
      <w:r>
        <w:rPr>
          <w:rFonts w:ascii="Times New Roman" w:cs="Times New Roman" w:hAnsi="Times New Roman"/>
          <w:b/>
          <w:sz w:val="44"/>
          <w:szCs w:val="44"/>
        </w:rPr>
        <w:t>15</w:t>
      </w:r>
      <w:r>
        <w:rPr>
          <w:rFonts w:ascii="Times New Roman" w:cs="Times New Roman" w:hAnsi="Times New Roman"/>
          <w:b/>
          <w:sz w:val="44"/>
          <w:szCs w:val="44"/>
        </w:rPr>
        <w:t>, 2020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DISCUSS THE SECOND WEEK OF DEVELOPMENT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second week of embryonic development involves the following</w:t>
      </w:r>
      <w:r>
        <w:rPr>
          <w:rFonts w:ascii="Times New Roman" w:cs="Times New Roman" w:hAnsi="Times New Roman"/>
          <w:sz w:val="24"/>
          <w:szCs w:val="24"/>
        </w:rPr>
        <w:t xml:space="preserve"> events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completion of the implantation</w:t>
      </w:r>
      <w:r>
        <w:rPr>
          <w:rFonts w:ascii="Times New Roman" w:cs="Times New Roman" w:hAnsi="Times New Roman"/>
          <w:sz w:val="24"/>
          <w:szCs w:val="24"/>
        </w:rPr>
        <w:t xml:space="preserve"> of the blastocyst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Formation of the Bi-</w:t>
      </w:r>
      <w:r>
        <w:rPr>
          <w:rFonts w:ascii="Times New Roman" w:cs="Times New Roman" w:hAnsi="Times New Roman"/>
          <w:sz w:val="24"/>
          <w:szCs w:val="24"/>
        </w:rPr>
        <w:t>laminar embryonic disc (epiblast and hypoblast)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Development of the extra-</w:t>
      </w:r>
      <w:r>
        <w:rPr>
          <w:rFonts w:ascii="Times New Roman" w:cs="Times New Roman" w:hAnsi="Times New Roman"/>
          <w:sz w:val="24"/>
          <w:szCs w:val="24"/>
        </w:rPr>
        <w:t>embryonic structures (amniotic cavity, amnion, umbilical vesicle, connecting stalk, and chorionic sac)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DAY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8</w:t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6053455" cy="2309150"/>
            <wp:effectExtent l="0" t="0" r="4445" b="0"/>
            <wp:docPr id="1026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23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blastocyst is partially (slowly) embedded in the endometrium.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syncytiotrophoblast continues to erode in the region of the endometrium (invading the capillaries, blood vessels, and endometrial glands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cells of the cytotrophoblast divide and migrate into the syncytiotrophoblast, where they fuse and lose their </w:t>
      </w:r>
      <w:r>
        <w:rPr>
          <w:rFonts w:ascii="Times New Roman" w:cs="Times New Roman" w:hAnsi="Times New Roman"/>
          <w:sz w:val="24"/>
          <w:szCs w:val="24"/>
        </w:rPr>
        <w:t xml:space="preserve">individual cell membrane.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embryoblast will differentiate into two layers:</w:t>
      </w:r>
    </w:p>
    <w:p>
      <w:pPr>
        <w:pStyle w:val="style179"/>
        <w:numPr>
          <w:ilvl w:val="1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cuboidal cells called the </w:t>
      </w:r>
      <w:r>
        <w:rPr>
          <w:rFonts w:ascii="Times New Roman" w:cs="Times New Roman" w:hAnsi="Times New Roman"/>
          <w:b/>
          <w:sz w:val="24"/>
          <w:szCs w:val="24"/>
        </w:rPr>
        <w:t>hypoblast layer</w:t>
      </w:r>
      <w:r>
        <w:rPr>
          <w:rFonts w:ascii="Times New Roman" w:cs="Times New Roman" w:hAnsi="Times New Roman"/>
          <w:sz w:val="24"/>
          <w:szCs w:val="24"/>
        </w:rPr>
        <w:t>, which is adjacent to the blastocyst cavity.</w:t>
      </w:r>
    </w:p>
    <w:p>
      <w:pPr>
        <w:pStyle w:val="style179"/>
        <w:numPr>
          <w:ilvl w:val="1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columinar cells called the </w:t>
      </w:r>
      <w:r>
        <w:rPr>
          <w:rFonts w:ascii="Times New Roman" w:cs="Times New Roman" w:hAnsi="Times New Roman"/>
          <w:b/>
          <w:sz w:val="24"/>
          <w:szCs w:val="24"/>
        </w:rPr>
        <w:t>epiblast layer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which is adjacent to the amniotic cavity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However, the cells of the epiblast that </w:t>
      </w:r>
      <w:r>
        <w:rPr>
          <w:rFonts w:ascii="Times New Roman" w:cs="Times New Roman" w:hAnsi="Times New Roman"/>
          <w:iCs/>
          <w:sz w:val="24"/>
          <w:szCs w:val="24"/>
        </w:rPr>
        <w:t xml:space="preserve">adjacent to the cytotrophoblast are called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amnioblasts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 or the a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mnion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Amnioblasts </w:t>
      </w:r>
      <w:r>
        <w:rPr>
          <w:rFonts w:ascii="Times New Roman" w:cs="Times New Roman" w:hAnsi="Times New Roman"/>
          <w:iCs/>
          <w:sz w:val="24"/>
          <w:szCs w:val="24"/>
        </w:rPr>
        <w:t>and the</w:t>
      </w:r>
      <w:r>
        <w:rPr>
          <w:rFonts w:ascii="Times New Roman" w:cs="Times New Roman" w:hAnsi="Times New Roman"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Cs/>
          <w:sz w:val="24"/>
          <w:szCs w:val="24"/>
          <w:u w:val="single"/>
        </w:rPr>
        <w:t>rest of the epiblast</w:t>
      </w:r>
      <w:r>
        <w:rPr>
          <w:rFonts w:ascii="Times New Roman" w:cs="Times New Roman" w:hAnsi="Times New Roman"/>
          <w:iCs/>
          <w:sz w:val="24"/>
          <w:szCs w:val="24"/>
        </w:rPr>
        <w:t xml:space="preserve"> surrounds </w:t>
      </w:r>
      <w:r>
        <w:rPr>
          <w:rFonts w:ascii="Times New Roman" w:cs="Times New Roman" w:hAnsi="Times New Roman"/>
          <w:iCs/>
          <w:sz w:val="24"/>
          <w:szCs w:val="24"/>
        </w:rPr>
        <w:t>the amniotic cavity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epiblast and the hypoblast form the bilaminar germ disc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endometrium adjacent to the implantation site is edematous and highly vascular.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DAY 9</w:t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6209818" cy="2418530"/>
            <wp:effectExtent l="0" t="0" r="635" b="127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09818" cy="241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blastocyst is more dee</w:t>
      </w:r>
      <w:r>
        <w:rPr>
          <w:rFonts w:ascii="Times New Roman" w:cs="Times New Roman" w:hAnsi="Times New Roman"/>
          <w:sz w:val="24"/>
          <w:szCs w:val="24"/>
        </w:rPr>
        <w:t>ply embedded in the endometrium. The penetration defect in the surface epithelium is closed by a fibrin coagulum.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syncytiotrophoblast </w:t>
      </w:r>
      <w:r>
        <w:rPr>
          <w:rFonts w:ascii="Times New Roman" w:cs="Times New Roman" w:hAnsi="Times New Roman"/>
          <w:sz w:val="24"/>
          <w:szCs w:val="24"/>
        </w:rPr>
        <w:t xml:space="preserve">continues to erode in the endometrium and cytotrophoblast continues to divide. 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vesicles develop in the region of the syncytiotrophoblast and they fuse to form larger lacunae called trophoblastic lacunae</w:t>
      </w:r>
      <w:r>
        <w:rPr>
          <w:rFonts w:ascii="Times New Roman" w:cs="Times New Roman" w:hAnsi="Times New Roman"/>
          <w:sz w:val="24"/>
          <w:szCs w:val="24"/>
        </w:rPr>
        <w:t xml:space="preserve">. This phase of trophoblast development is known as the </w:t>
      </w:r>
      <w:r>
        <w:rPr>
          <w:rFonts w:ascii="Times New Roman" w:cs="Times New Roman" w:hAnsi="Times New Roman"/>
          <w:b/>
          <w:sz w:val="24"/>
          <w:szCs w:val="24"/>
        </w:rPr>
        <w:t>lacunar stage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Another membrane develops adjacent to the hypoblast which is called the </w:t>
      </w:r>
      <w:r>
        <w:rPr>
          <w:rFonts w:ascii="Times New Roman" w:cs="Times New Roman" w:hAnsi="Times New Roman"/>
          <w:b/>
          <w:sz w:val="24"/>
          <w:szCs w:val="24"/>
        </w:rPr>
        <w:t>exocoelomic (Heuser’s) membrane;</w:t>
      </w:r>
      <w:r>
        <w:rPr>
          <w:rFonts w:ascii="Times New Roman" w:cs="Times New Roman" w:hAnsi="Times New Roman"/>
          <w:sz w:val="24"/>
          <w:szCs w:val="24"/>
        </w:rPr>
        <w:t xml:space="preserve"> which surrounds the primary </w:t>
      </w:r>
      <w:r>
        <w:rPr>
          <w:rFonts w:ascii="Times New Roman" w:cs="Times New Roman" w:hAnsi="Times New Roman"/>
          <w:sz w:val="24"/>
          <w:szCs w:val="24"/>
        </w:rPr>
        <w:t xml:space="preserve">yolk sac or </w:t>
      </w:r>
      <w:r>
        <w:rPr>
          <w:rFonts w:ascii="Times New Roman" w:cs="Times New Roman" w:hAnsi="Times New Roman"/>
          <w:sz w:val="24"/>
          <w:szCs w:val="24"/>
        </w:rPr>
        <w:t xml:space="preserve">primary umbilical vesicle or exocoelomic cavity.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DAY 11-12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blastocyst is </w:t>
      </w:r>
      <w:r>
        <w:rPr>
          <w:rFonts w:ascii="Times New Roman" w:cs="Times New Roman" w:hAnsi="Times New Roman"/>
          <w:sz w:val="24"/>
          <w:szCs w:val="24"/>
        </w:rPr>
        <w:t>completely embedded in the endometrium.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syncytiotrophoblast continues to erode in the endometrium and cytotrophoblast continues to divide. 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syncytiotrophoblast ruptures some of the capillaries as it erodes the endometrium. The ruptured endometrial capillaries are called sinusoids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rupture sinusoids communicates with the trophoblastic lacunae which helps in transporting nutrients and oxygen to the embryo. At this stage, a primordial uteroplacental circulation is established.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72267" cy="2265045"/>
            <wp:effectExtent l="0" t="0" r="5080" b="1905"/>
            <wp:docPr id="1028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267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space of mesoderm develops between the exocoelom</w:t>
      </w:r>
      <w:r>
        <w:rPr>
          <w:rFonts w:ascii="Times New Roman" w:cs="Times New Roman" w:hAnsi="Times New Roman"/>
          <w:sz w:val="24"/>
          <w:szCs w:val="24"/>
        </w:rPr>
        <w:t>ic membrane and cytotrophoblast</w:t>
      </w:r>
      <w:r>
        <w:rPr>
          <w:rFonts w:ascii="Times New Roman" w:cs="Times New Roman" w:hAnsi="Times New Roman"/>
          <w:sz w:val="24"/>
          <w:szCs w:val="24"/>
        </w:rPr>
        <w:t xml:space="preserve">, and </w:t>
      </w:r>
      <w:r>
        <w:rPr>
          <w:rFonts w:ascii="Times New Roman" w:cs="Times New Roman" w:hAnsi="Times New Roman"/>
          <w:sz w:val="24"/>
          <w:szCs w:val="24"/>
        </w:rPr>
        <w:t xml:space="preserve">between the cytotrophoblast and the amnioblast. The space of the mesoderm is called </w:t>
      </w:r>
      <w:r>
        <w:rPr>
          <w:rFonts w:ascii="Times New Roman" w:cs="Times New Roman" w:hAnsi="Times New Roman"/>
          <w:b/>
          <w:sz w:val="24"/>
          <w:szCs w:val="24"/>
        </w:rPr>
        <w:t>extra em</w:t>
      </w:r>
      <w:r>
        <w:rPr>
          <w:rFonts w:ascii="Times New Roman" w:cs="Times New Roman" w:hAnsi="Times New Roman"/>
          <w:b/>
          <w:sz w:val="24"/>
          <w:szCs w:val="24"/>
        </w:rPr>
        <w:t xml:space="preserve">bryonic mesoderm </w:t>
      </w:r>
      <w:r>
        <w:rPr>
          <w:rFonts w:ascii="Times New Roman" w:cs="Times New Roman" w:hAnsi="Times New Roman"/>
          <w:b/>
          <w:sz w:val="24"/>
          <w:szCs w:val="24"/>
        </w:rPr>
        <w:t>except for the connecting stalk.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Cavities develop at the region of the extraembryonic mesoderm called </w:t>
      </w:r>
      <w:r>
        <w:rPr>
          <w:rFonts w:ascii="Times New Roman" w:cs="Times New Roman" w:hAnsi="Times New Roman"/>
          <w:b/>
          <w:sz w:val="24"/>
          <w:szCs w:val="24"/>
        </w:rPr>
        <w:t xml:space="preserve">extraembryonic cavity or </w:t>
      </w:r>
      <w:r>
        <w:rPr>
          <w:rFonts w:ascii="Times New Roman" w:cs="Times New Roman" w:hAnsi="Times New Roman"/>
          <w:b/>
          <w:sz w:val="24"/>
          <w:szCs w:val="24"/>
        </w:rPr>
        <w:t>coelu</w:t>
      </w:r>
      <w:r>
        <w:rPr>
          <w:rFonts w:ascii="Times New Roman" w:cs="Times New Roman" w:hAnsi="Times New Roman"/>
          <w:b/>
          <w:sz w:val="24"/>
          <w:szCs w:val="24"/>
        </w:rPr>
        <w:t>m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coelum divides the mesoderm into two parts</w:t>
      </w:r>
    </w:p>
    <w:p>
      <w:pPr>
        <w:pStyle w:val="style179"/>
        <w:numPr>
          <w:ilvl w:val="1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extraembryonic mesoderm lining the cytotrophoblast and amnion is called the </w:t>
      </w:r>
      <w:r>
        <w:rPr>
          <w:rFonts w:ascii="Times New Roman" w:cs="Times New Roman" w:hAnsi="Times New Roman"/>
          <w:b/>
          <w:sz w:val="24"/>
          <w:szCs w:val="24"/>
        </w:rPr>
        <w:t>extraembryonic  somatic mesoderm</w:t>
      </w:r>
    </w:p>
    <w:p>
      <w:pPr>
        <w:pStyle w:val="style179"/>
        <w:numPr>
          <w:ilvl w:val="1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extraembryonic mesoderm lines the amnioblast, the exocoelomic cavity, and the hypoblast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 epiblast</w:t>
      </w:r>
      <w:r>
        <w:rPr>
          <w:rFonts w:ascii="Times New Roman" w:cs="Times New Roman" w:hAnsi="Times New Roman"/>
          <w:sz w:val="24"/>
          <w:szCs w:val="24"/>
        </w:rPr>
        <w:t xml:space="preserve"> is known as the</w:t>
      </w:r>
      <w:r>
        <w:rPr>
          <w:rFonts w:ascii="Times New Roman" w:cs="Times New Roman" w:hAnsi="Times New Roman"/>
          <w:b/>
          <w:sz w:val="24"/>
          <w:szCs w:val="24"/>
        </w:rPr>
        <w:t xml:space="preserve"> extraembryonic splanchnic mesoderm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As the development atkke place, a reaction takes place called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decidual reaction</w:t>
      </w:r>
      <w:r>
        <w:rPr>
          <w:rFonts w:ascii="Times New Roman" w:cs="Times New Roman" w:hAnsi="Times New Roman"/>
          <w:sz w:val="24"/>
          <w:szCs w:val="24"/>
        </w:rPr>
        <w:t xml:space="preserve">. The cells of the endometrium wells because of the accumulation of the glycogen and lipid in their cytoplasm and they are known as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decidual cells.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3509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5943600" cy="2383213"/>
            <wp:effectExtent l="0" t="0" r="0" b="0"/>
            <wp:docPr id="1029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DAY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13</w:t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903843" cy="3819525"/>
            <wp:effectExtent l="0" t="0" r="1905" b="0"/>
            <wp:docPr id="1030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03843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The surface defect in the endometrium has been completely covered by the </w:t>
      </w:r>
      <w:r>
        <w:rPr>
          <w:rFonts w:ascii="Times New Roman" w:cs="Times New Roman" w:hAnsi="Times New Roman"/>
          <w:iCs/>
          <w:sz w:val="24"/>
          <w:szCs w:val="24"/>
          <w:u w:val="single"/>
        </w:rPr>
        <w:t>surface epithelium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Occasionally bleeding occurs at the implantation site as a result of </w:t>
      </w:r>
      <w:r>
        <w:rPr>
          <w:rFonts w:ascii="Times New Roman" w:cs="Times New Roman" w:hAnsi="Times New Roman"/>
          <w:iCs/>
          <w:sz w:val="24"/>
          <w:szCs w:val="24"/>
          <w:u w:val="single"/>
        </w:rPr>
        <w:t>increased blood flow into the lacunar spaces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 this sta</w:t>
      </w:r>
      <w:r>
        <w:rPr>
          <w:rFonts w:ascii="Times New Roman" w:cs="Times New Roman" w:hAnsi="Times New Roman"/>
          <w:sz w:val="24"/>
          <w:szCs w:val="24"/>
        </w:rPr>
        <w:t>ge, the cells of the cytotrophoblast</w:t>
      </w:r>
      <w:r>
        <w:rPr>
          <w:rFonts w:ascii="Times New Roman" w:cs="Times New Roman" w:hAnsi="Times New Roman"/>
          <w:sz w:val="24"/>
          <w:szCs w:val="24"/>
        </w:rPr>
        <w:t xml:space="preserve"> acquire a syncytium which gives us a shape of villi</w:t>
      </w:r>
      <w:r>
        <w:rPr>
          <w:rFonts w:ascii="Times New Roman" w:cs="Times New Roman" w:hAnsi="Times New Roman"/>
          <w:sz w:val="24"/>
          <w:szCs w:val="24"/>
        </w:rPr>
        <w:t xml:space="preserve"> (cellular columns)</w:t>
      </w:r>
      <w:r>
        <w:rPr>
          <w:rFonts w:ascii="Times New Roman" w:cs="Times New Roman" w:hAnsi="Times New Roman"/>
          <w:sz w:val="24"/>
          <w:szCs w:val="24"/>
        </w:rPr>
        <w:t xml:space="preserve"> and it is called a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primary villi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And the extraembryonic cavity/ coelom becomes enlarge and becomes the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chorionic cavity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The primary yolk sac becomes reduced in size and is known as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the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secondary yolk sac or definitive yolk sac or the secondary umbilical vesicle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 A part of the yolk sac is pinched off to form a cyst called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exocoelomic cysts. 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The cyst is found in the extraembryonic cavity or chorionic cavity or extraembryonic coelom.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extraembryonic coelom expands and forms a large cavity called the </w:t>
      </w:r>
      <w:r>
        <w:rPr>
          <w:rFonts w:ascii="Times New Roman" w:cs="Times New Roman" w:hAnsi="Times New Roman"/>
          <w:b/>
          <w:sz w:val="24"/>
          <w:szCs w:val="24"/>
        </w:rPr>
        <w:t>chorionic cavity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The extraembryonic mesoderm lining the inside of the cytotrophoblast is then known as the </w:t>
      </w:r>
      <w:r>
        <w:rPr>
          <w:rFonts w:ascii="Times New Roman" w:cs="Times New Roman" w:hAnsi="Times New Roman"/>
          <w:b/>
          <w:iCs/>
          <w:sz w:val="24"/>
          <w:szCs w:val="24"/>
        </w:rPr>
        <w:t>chorionic plate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 The o</w:t>
      </w:r>
      <w:r>
        <w:rPr>
          <w:rFonts w:ascii="Times New Roman" w:cs="Times New Roman" w:hAnsi="Times New Roman"/>
          <w:iCs/>
          <w:sz w:val="24"/>
          <w:szCs w:val="24"/>
        </w:rPr>
        <w:t xml:space="preserve">nly place where </w:t>
      </w:r>
      <w:r>
        <w:rPr>
          <w:rFonts w:ascii="Times New Roman" w:cs="Times New Roman" w:hAnsi="Times New Roman"/>
          <w:iCs/>
          <w:sz w:val="24"/>
          <w:szCs w:val="24"/>
        </w:rPr>
        <w:t xml:space="preserve">extraembryonic mesoderm traverses the chorionic cavity </w:t>
      </w:r>
      <w:r>
        <w:rPr>
          <w:rFonts w:ascii="Times New Roman" w:cs="Times New Roman" w:hAnsi="Times New Roman"/>
          <w:iCs/>
          <w:sz w:val="24"/>
          <w:szCs w:val="24"/>
        </w:rPr>
        <w:t xml:space="preserve">is in the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connecting  stalk</w:t>
      </w:r>
      <w:r>
        <w:rPr>
          <w:rFonts w:ascii="Times New Roman" w:cs="Times New Roman" w:hAnsi="Times New Roman"/>
          <w:iCs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Cs/>
          <w:sz w:val="24"/>
          <w:szCs w:val="24"/>
        </w:rPr>
        <w:t xml:space="preserve">With development of blood vessels, the  </w:t>
      </w:r>
      <w:r>
        <w:rPr>
          <w:rFonts w:ascii="Times New Roman" w:cs="Times New Roman" w:hAnsi="Times New Roman"/>
          <w:iCs/>
          <w:sz w:val="24"/>
          <w:szCs w:val="24"/>
        </w:rPr>
        <w:t>connecting stalk</w:t>
      </w:r>
      <w:r>
        <w:rPr>
          <w:rFonts w:ascii="Times New Roman" w:cs="Times New Roman" w:hAnsi="Times New Roman"/>
          <w:iCs/>
          <w:sz w:val="24"/>
          <w:szCs w:val="24"/>
        </w:rPr>
        <w:t xml:space="preserve"> becomes the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umbilical cord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LINICAL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SIGNIFICANCE</w:t>
      </w:r>
    </w:p>
    <w:p>
      <w:pPr>
        <w:pStyle w:val="style0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syncytiotrophoblast produces a hormone called the human chorionic gonadotrophin (hCG), which enters the maternal blood via lacunae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sz w:val="24"/>
          <w:szCs w:val="24"/>
        </w:rPr>
        <w:t>keeps the corpus luteum secreting estrogens and progesterone</w:t>
      </w:r>
      <w:r>
        <w:rPr>
          <w:rFonts w:ascii="Times New Roman" w:cs="Times New Roman" w:hAnsi="Times New Roman"/>
          <w:sz w:val="24"/>
          <w:szCs w:val="24"/>
        </w:rPr>
        <w:t xml:space="preserve">. The hCG maintains the hormonal acivity of the corpus luteum in the ovary during pregnancy. It can be detected in the maternal blood or urine as </w:t>
      </w:r>
      <w:r>
        <w:rPr>
          <w:rFonts w:ascii="Times New Roman" w:cs="Times New Roman" w:hAnsi="Times New Roman"/>
          <w:sz w:val="24"/>
          <w:szCs w:val="24"/>
        </w:rPr>
        <w:t xml:space="preserve">early as </w:t>
      </w:r>
      <w:r>
        <w:rPr>
          <w:rFonts w:ascii="Times New Roman" w:cs="Times New Roman" w:hAnsi="Times New Roman"/>
          <w:bCs/>
          <w:iCs/>
          <w:sz w:val="24"/>
          <w:szCs w:val="24"/>
        </w:rPr>
        <w:t>day 10</w:t>
      </w:r>
      <w:r>
        <w:rPr>
          <w:rFonts w:ascii="Times New Roman" w:cs="Times New Roman" w:hAnsi="Times New Roman"/>
          <w:iCs/>
          <w:sz w:val="24"/>
          <w:szCs w:val="24"/>
        </w:rPr>
        <w:t> of pregnancy and is the basis for pregnancy tests</w:t>
      </w:r>
      <w:r>
        <w:rPr>
          <w:rFonts w:ascii="Times New Roman" w:cs="Times New Roman" w:hAnsi="Times New Roman"/>
          <w:iCs/>
          <w:sz w:val="24"/>
          <w:szCs w:val="24"/>
        </w:rPr>
        <w:t xml:space="preserve"> because enough hCG is produced at the end of the second week, even when the lady is not aware that she is pregnant.</w:t>
      </w:r>
    </w:p>
    <w:p>
      <w:pPr>
        <w:pStyle w:val="style0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Extrauterine implantation: is when the blastocyst implants outside the uterus and this could result into etopic pregnancy. However, 95% to 98% of etopic implantations occur in the uterin tubes and most often in the ampulla and isthmus. 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D6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EFC5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9A29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EAA69196"/>
    <w:lvl w:ilvl="0" w:tplc="C4FED09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5D666D18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B762A8FA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1108CE3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BF2EFE0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4724B538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D0AE529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ED83B6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0700D8D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0000004"/>
    <w:multiLevelType w:val="hybridMultilevel"/>
    <w:tmpl w:val="07A0DDB8"/>
    <w:lvl w:ilvl="0" w:tplc="9510317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0DF4B1EE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94EC01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458BC24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4E5EBFF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8C6C998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3C44451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0C44DA6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1F0ED56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5"/>
    <w:multiLevelType w:val="hybridMultilevel"/>
    <w:tmpl w:val="0EA4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DFA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870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5524B47C"/>
    <w:lvl w:ilvl="0" w:tplc="9E4C7B8A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03C4D6EC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C82CBAD8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9072FB1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75A810BE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CDF4AB9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76FAE6E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72B29768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F4308F1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0000009"/>
    <w:multiLevelType w:val="hybridMultilevel"/>
    <w:tmpl w:val="6650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5E5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C5F6EA9C"/>
    <w:lvl w:ilvl="0" w:tplc="12C0ACD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5268CB6C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A976B33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80AE017C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326E26E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C6F4345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3FAC039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5960242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317847F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000000C"/>
    <w:multiLevelType w:val="hybridMultilevel"/>
    <w:tmpl w:val="01847656"/>
    <w:lvl w:ilvl="0" w:tplc="3E6C0EE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040C9866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291EB2F8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8A7C2C1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077A1E2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35CEA92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6AFCD9B6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D77E7E56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17A80798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810</Words>
  <Characters>4604</Characters>
  <Application>WPS Office</Application>
  <DocSecurity>0</DocSecurity>
  <Paragraphs>80</Paragraphs>
  <ScaleCrop>false</ScaleCrop>
  <LinksUpToDate>false</LinksUpToDate>
  <CharactersWithSpaces>5379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2020-05-17T23:26:32Z</dcterms:created>
  <dc:creator>Lenovo</dc:creator>
  <lastModifiedBy>Infinix X625C</lastModifiedBy>
  <dcterms:modified xsi:type="dcterms:W3CDTF">2020-05-17T23:26:32Z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