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NDAH CHRIS CHIMENEM</w:t>
      </w:r>
    </w:p>
    <w:p>
      <w:pPr>
        <w:spacing w:line="48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18/MHS03/007</w:t>
      </w:r>
    </w:p>
    <w:p>
      <w:pPr>
        <w:spacing w:line="48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ANATOMY</w:t>
      </w:r>
    </w:p>
    <w:p>
      <w:pPr>
        <w:spacing w:line="48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ANA 204 </w:t>
      </w:r>
    </w:p>
    <w:p>
      <w:pPr>
        <w:numPr>
          <w:ilvl w:val="0"/>
          <w:numId w:val="0"/>
        </w:numPr>
        <w:spacing w:line="480" w:lineRule="auto"/>
        <w:rPr>
          <w:rFonts w:hint="default" w:ascii="Times New Roman" w:hAnsi="Times New Roman" w:cs="Times New Roman"/>
          <w:b w:val="0"/>
          <w:bCs w:val="0"/>
          <w:sz w:val="24"/>
          <w:szCs w:val="24"/>
          <w:u w:val="none"/>
          <w:lang w:val="en-US"/>
        </w:rPr>
      </w:pPr>
    </w:p>
    <w:p>
      <w:pPr>
        <w:numPr>
          <w:ilvl w:val="0"/>
          <w:numId w:val="0"/>
        </w:numPr>
        <w:spacing w:line="480" w:lineRule="auto"/>
        <w:rPr>
          <w:rFonts w:hint="default" w:ascii="Times New Roman" w:hAnsi="Times New Roman" w:cs="Times New Roman"/>
          <w:b/>
          <w:bCs/>
          <w:sz w:val="24"/>
          <w:szCs w:val="24"/>
          <w:u w:val="none"/>
          <w:lang w:val="en-US"/>
        </w:rPr>
      </w:pPr>
    </w:p>
    <w:p>
      <w:pPr>
        <w:numPr>
          <w:ilvl w:val="0"/>
          <w:numId w:val="0"/>
        </w:numPr>
        <w:spacing w:line="480" w:lineRule="auto"/>
        <w:rPr>
          <w:rFonts w:hint="default" w:ascii="Times New Roman" w:hAnsi="Times New Roman" w:cs="Times New Roman"/>
          <w:b/>
          <w:bCs/>
          <w:sz w:val="24"/>
          <w:szCs w:val="24"/>
          <w:u w:val="none"/>
          <w:lang w:val="en-US"/>
        </w:rPr>
      </w:pPr>
      <w:r>
        <w:rPr>
          <w:rFonts w:hint="default" w:ascii="Times New Roman" w:hAnsi="Times New Roman" w:cs="Times New Roman"/>
          <w:b/>
          <w:bCs/>
          <w:sz w:val="24"/>
          <w:szCs w:val="24"/>
          <w:u w:val="none"/>
          <w:lang w:val="en-US"/>
        </w:rPr>
        <w:t>QUESTION 1: CRITICALLY EXAMINE THE RENAL FUNCTION OF DESERT DWELLERS AND THE ANATOMICAL BASIS OF THEIR UNIQUE ADAPTATION.</w:t>
      </w:r>
    </w:p>
    <w:p>
      <w:pPr>
        <w:numPr>
          <w:ilvl w:val="0"/>
          <w:numId w:val="0"/>
        </w:numPr>
        <w:spacing w:line="480" w:lineRule="auto"/>
        <w:rPr>
          <w:rFonts w:hint="default" w:ascii="Times New Roman" w:hAnsi="Times New Roman" w:cs="Times New Roman"/>
          <w:b w:val="0"/>
          <w:bCs w:val="0"/>
          <w:sz w:val="24"/>
          <w:szCs w:val="24"/>
          <w:u w:val="none"/>
          <w:lang w:val="en-US"/>
        </w:rPr>
      </w:pPr>
    </w:p>
    <w:p>
      <w:pPr>
        <w:numPr>
          <w:ilvl w:val="0"/>
          <w:numId w:val="0"/>
        </w:numPr>
        <w:spacing w:line="48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Since water is not readily available in the arid environment, animals have acquired a unique adaptation to excrete very little amount of water. The nephrons in desert animals are equipped with well developed Henle’s loop and the number of juxtamendullary nephrons in the kidney is very high unlike that of humans. </w:t>
      </w:r>
    </w:p>
    <w:p>
      <w:pPr>
        <w:numPr>
          <w:ilvl w:val="0"/>
          <w:numId w:val="0"/>
        </w:numPr>
        <w:spacing w:line="48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From the diagram below we can see that the Henle’s loop of the juxtamedullary nephron goes very deep into the medulla. </w:t>
      </w:r>
      <w:r>
        <w:rPr>
          <w:rFonts w:hint="default" w:ascii="Times New Roman" w:hAnsi="Times New Roman" w:cs="Times New Roman"/>
          <w:b w:val="0"/>
          <w:bCs w:val="0"/>
          <w:sz w:val="24"/>
          <w:szCs w:val="24"/>
          <w:u w:val="none"/>
        </w:rPr>
        <w:drawing>
          <wp:inline distT="0" distB="0" distL="114300" distR="114300">
            <wp:extent cx="4488180" cy="3159125"/>
            <wp:effectExtent l="0" t="0" r="7620" b="3175"/>
            <wp:docPr id="1" name="Picture 1" descr="9N4pc3prSsOUHab6Zl5u_cortical_and_juxtamedullary_nephrons-142BBC4AB033DB5F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N4pc3prSsOUHab6Zl5u_cortical_and_juxtamedullary_nephrons-142BBC4AB033DB5F08F"/>
                    <pic:cNvPicPr>
                      <a:picLocks noChangeAspect="1"/>
                    </pic:cNvPicPr>
                  </pic:nvPicPr>
                  <pic:blipFill>
                    <a:blip r:embed="rId4"/>
                    <a:stretch>
                      <a:fillRect/>
                    </a:stretch>
                  </pic:blipFill>
                  <pic:spPr>
                    <a:xfrm>
                      <a:off x="0" y="0"/>
                      <a:ext cx="4488180" cy="3159125"/>
                    </a:xfrm>
                    <a:prstGeom prst="rect">
                      <a:avLst/>
                    </a:prstGeom>
                  </pic:spPr>
                </pic:pic>
              </a:graphicData>
            </a:graphic>
          </wp:inline>
        </w:drawing>
      </w:r>
    </w:p>
    <w:p>
      <w:pPr>
        <w:spacing w:line="480" w:lineRule="auto"/>
        <w:jc w:val="left"/>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lang w:val="en-US"/>
        </w:rPr>
        <w:t xml:space="preserve">This is why the medulla of a camels kidney is thicker than that of other mammals. The Henle’s loops of juxtamedullary nephrons along with counter flowing blood vessels called </w:t>
      </w:r>
      <w:r>
        <w:rPr>
          <w:rFonts w:hint="default" w:ascii="Times New Roman" w:hAnsi="Times New Roman" w:cs="Times New Roman"/>
          <w:b w:val="0"/>
          <w:bCs w:val="0"/>
          <w:i/>
          <w:iCs/>
          <w:sz w:val="24"/>
          <w:szCs w:val="24"/>
          <w:u w:val="none"/>
          <w:lang w:val="en-US"/>
        </w:rPr>
        <w:t xml:space="preserve">vasa recta </w:t>
      </w:r>
      <w:r>
        <w:rPr>
          <w:rFonts w:hint="default" w:ascii="Times New Roman" w:hAnsi="Times New Roman" w:cs="Times New Roman"/>
          <w:b w:val="0"/>
          <w:bCs w:val="0"/>
          <w:i w:val="0"/>
          <w:iCs w:val="0"/>
          <w:sz w:val="24"/>
          <w:szCs w:val="24"/>
          <w:u w:val="none"/>
          <w:lang w:val="en-US"/>
        </w:rPr>
        <w:t xml:space="preserve">help in conservation of water. The longer the Henle’s loop more amount of solute will be reabsorbed and hence more amount of water could be removed from filtrate. </w:t>
      </w:r>
      <w:r>
        <w:rPr>
          <w:rFonts w:hint="default" w:ascii="Times New Roman" w:hAnsi="Times New Roman" w:cs="Times New Roman"/>
          <w:b w:val="0"/>
          <w:bCs w:val="0"/>
          <w:sz w:val="24"/>
          <w:szCs w:val="24"/>
          <w:u w:val="none"/>
        </w:rPr>
        <w:t>The juxtaglomerular apparatus components are topographically intimate for effective tubuloglomerular autoregulation of renal blood flow.</w:t>
      </w:r>
    </w:p>
    <w:p>
      <w:pPr>
        <w:spacing w:line="480" w:lineRule="auto"/>
        <w:jc w:val="left"/>
        <w:rPr>
          <w:rFonts w:hint="default" w:ascii="Times New Roman" w:hAnsi="Times New Roman" w:cs="Times New Roman"/>
          <w:b w:val="0"/>
          <w:bCs w:val="0"/>
          <w:sz w:val="24"/>
          <w:szCs w:val="24"/>
          <w:u w:val="none"/>
        </w:rPr>
      </w:pPr>
    </w:p>
    <w:p>
      <w:pPr>
        <w:numPr>
          <w:ilvl w:val="0"/>
          <w:numId w:val="0"/>
        </w:numPr>
        <w:spacing w:line="480" w:lineRule="auto"/>
        <w:rPr>
          <w:rFonts w:hint="default" w:ascii="Times New Roman" w:hAnsi="Times New Roman" w:cs="Times New Roman"/>
          <w:b w:val="0"/>
          <w:bCs w:val="0"/>
          <w:i w:val="0"/>
          <w:iCs w:val="0"/>
          <w:sz w:val="24"/>
          <w:szCs w:val="24"/>
          <w:u w:val="none"/>
          <w:lang w:val="en-US"/>
        </w:rPr>
      </w:pPr>
    </w:p>
    <w:p>
      <w:pPr>
        <w:numPr>
          <w:ilvl w:val="0"/>
          <w:numId w:val="0"/>
        </w:numPr>
        <w:spacing w:line="480" w:lineRule="auto"/>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 xml:space="preserve">QUESTION 2: WRITE EXTENSIVELY ON THE CLINICAL IMPORTANCE OF THE GLOMERULAR FILTRATION BARRIER </w:t>
      </w:r>
    </w:p>
    <w:p>
      <w:pPr>
        <w:numPr>
          <w:ilvl w:val="0"/>
          <w:numId w:val="0"/>
        </w:numPr>
        <w:spacing w:line="480" w:lineRule="auto"/>
        <w:rPr>
          <w:rFonts w:hint="default" w:ascii="Times New Roman" w:hAnsi="Times New Roman" w:cs="Times New Roman"/>
          <w:b/>
          <w:bCs/>
          <w:i w:val="0"/>
          <w:iCs w:val="0"/>
          <w:sz w:val="24"/>
          <w:szCs w:val="24"/>
          <w:u w:val="none"/>
          <w:lang w:val="en-US"/>
        </w:rPr>
      </w:pP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The glomerular filtration barrier</w:t>
      </w:r>
      <w:r>
        <w:rPr>
          <w:rFonts w:hint="default" w:ascii="Times New Roman" w:hAnsi="Times New Roman" w:cs="Times New Roman"/>
          <w:sz w:val="24"/>
          <w:szCs w:val="24"/>
          <w:lang w:val="en-US"/>
        </w:rPr>
        <w:t xml:space="preserve"> is a highly irrigated structure that performs selective filtration of the plasma. Inside the bowmans capsule it</w:t>
      </w:r>
      <w:bookmarkStart w:id="0" w:name="_GoBack"/>
      <w:bookmarkEnd w:id="0"/>
      <w:r>
        <w:rPr>
          <w:rFonts w:hint="default" w:ascii="Times New Roman" w:hAnsi="Times New Roman" w:cs="Times New Roman"/>
          <w:sz w:val="24"/>
          <w:szCs w:val="24"/>
        </w:rPr>
        <w:t> functions as a highly organized, semipermeable membrane preventing the passage of the majority of proteins into the urine. The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"https://www.sciencedirect.com/topics/immunology-and-microbiology/glomerular-filtration-barrier" \o "Learn more about Glomerular Filtration Barrier from ScienceDirect's AI-generated Topic Pages"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u w:val="none"/>
          <w14:textFill>
            <w14:solidFill>
              <w14:schemeClr w14:val="tx1"/>
            </w14:solidFill>
          </w14:textFill>
        </w:rPr>
        <w:t>glomerular filtration barrier</w:t>
      </w:r>
      <w:r>
        <w:rPr>
          <w:rStyle w:val="4"/>
          <w:rFonts w:hint="default" w:ascii="Times New Roman" w:hAnsi="Times New Roman" w:cs="Times New Roman"/>
          <w:color w:val="000000" w:themeColor="text1"/>
          <w:sz w:val="24"/>
          <w:szCs w:val="24"/>
          <w:u w:val="none"/>
          <w14:textFill>
            <w14:solidFill>
              <w14:schemeClr w14:val="tx1"/>
            </w14:solidFill>
          </w14:textFill>
        </w:rPr>
        <w:fldChar w:fldCharType="end"/>
      </w:r>
      <w:r>
        <w:rPr>
          <w:rFonts w:hint="default" w:ascii="Times New Roman" w:hAnsi="Times New Roman" w:cs="Times New Roman"/>
          <w:sz w:val="24"/>
          <w:szCs w:val="24"/>
        </w:rPr>
        <w:t> consists of the fenestrated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"https://www.sciencedirect.com/topics/immunology-and-microbiology/endothelium" \o "Learn more about Endothelium from ScienceDirect's AI-generated Topic Pages"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u w:val="none"/>
          <w14:textFill>
            <w14:solidFill>
              <w14:schemeClr w14:val="tx1"/>
            </w14:solidFill>
          </w14:textFill>
        </w:rPr>
        <w:t>endothelium</w:t>
      </w:r>
      <w:r>
        <w:rPr>
          <w:rStyle w:val="4"/>
          <w:rFonts w:hint="default" w:ascii="Times New Roman" w:hAnsi="Times New Roman" w:cs="Times New Roman"/>
          <w:color w:val="000000" w:themeColor="text1"/>
          <w:sz w:val="24"/>
          <w:szCs w:val="24"/>
          <w:u w:val="none"/>
          <w14:textFill>
            <w14:solidFill>
              <w14:schemeClr w14:val="tx1"/>
            </w14:solidFill>
          </w14:textFill>
        </w:rPr>
        <w:fldChar w:fldCharType="end"/>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"https://www.sciencedirect.com/topics/immunology-and-microbiology/glomerulus-basement-membrane" \o "Learn more about Glomerulus Basement Membrane from ScienceDirect's AI-generated Topic Pages"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u w:val="none"/>
          <w14:textFill>
            <w14:solidFill>
              <w14:schemeClr w14:val="tx1"/>
            </w14:solidFill>
          </w14:textFill>
        </w:rPr>
        <w:t>glomerular basement membrane</w:t>
      </w:r>
      <w:r>
        <w:rPr>
          <w:rStyle w:val="4"/>
          <w:rFonts w:hint="default" w:ascii="Times New Roman" w:hAnsi="Times New Roman" w:cs="Times New Roman"/>
          <w:color w:val="000000" w:themeColor="text1"/>
          <w:sz w:val="24"/>
          <w:szCs w:val="24"/>
          <w:u w:val="none"/>
          <w14:textFill>
            <w14:solidFill>
              <w14:schemeClr w14:val="tx1"/>
            </w14:solidFill>
          </w14:textFill>
        </w:rPr>
        <w:fldChar w:fldCharType="end"/>
      </w:r>
      <w:r>
        <w:rPr>
          <w:rFonts w:hint="default" w:ascii="Times New Roman" w:hAnsi="Times New Roman" w:cs="Times New Roman"/>
          <w:sz w:val="24"/>
          <w:szCs w:val="24"/>
        </w:rPr>
        <w:t>, and the podocyte foot processes, which are connected by a slit-diaphragm. The filtration barrier normally acts to retain protein inside the lumen of the capillaries separate from the urinary space; however, defects in the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"https://www.sciencedirect.com/topics/immunology-and-microbiology/podocyte" \o "Learn more about Podocyte from ScienceDirect's AI-generated Topic Pages"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u w:val="none"/>
          <w14:textFill>
            <w14:solidFill>
              <w14:schemeClr w14:val="tx1"/>
            </w14:solidFill>
          </w14:textFill>
        </w:rPr>
        <w:t>podocytes</w:t>
      </w:r>
      <w:r>
        <w:rPr>
          <w:rStyle w:val="4"/>
          <w:rFonts w:hint="default" w:ascii="Times New Roman" w:hAnsi="Times New Roman" w:cs="Times New Roman"/>
          <w:color w:val="000000" w:themeColor="text1"/>
          <w:sz w:val="24"/>
          <w:szCs w:val="24"/>
          <w:u w:val="none"/>
          <w14:textFill>
            <w14:solidFill>
              <w14:schemeClr w14:val="tx1"/>
            </w14:solidFill>
          </w14:textFill>
        </w:rPr>
        <w:fldChar w:fldCharType="end"/>
      </w:r>
      <w:r>
        <w:rPr>
          <w:rFonts w:hint="default" w:ascii="Times New Roman" w:hAnsi="Times New Roman" w:cs="Times New Roman"/>
          <w:sz w:val="24"/>
          <w:szCs w:val="24"/>
        </w:rPr>
        <w:t> affecting the feet, tight junction (podocin, nephrin), and the slit diaphragm signalling, actin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"https://www.sciencedirect.com/topics/immunology-and-microbiology/cytoskeleton" \o "Learn more about Cytoskeleton from ScienceDirect's AI-generated Topic Pages"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u w:val="none"/>
          <w14:textFill>
            <w14:solidFill>
              <w14:schemeClr w14:val="tx1"/>
            </w14:solidFill>
          </w14:textFill>
        </w:rPr>
        <w:t>cytoskeleton</w:t>
      </w:r>
      <w:r>
        <w:rPr>
          <w:rStyle w:val="4"/>
          <w:rFonts w:hint="default" w:ascii="Times New Roman" w:hAnsi="Times New Roman" w:cs="Times New Roman"/>
          <w:color w:val="000000" w:themeColor="text1"/>
          <w:sz w:val="24"/>
          <w:szCs w:val="24"/>
          <w:u w:val="none"/>
          <w14:textFill>
            <w14:solidFill>
              <w14:schemeClr w14:val="tx1"/>
            </w14:solidFill>
          </w14:textFill>
        </w:rPr>
        <w:fldChar w:fldCharType="end"/>
      </w:r>
      <w:r>
        <w:rPr>
          <w:rFonts w:hint="default" w:ascii="Times New Roman" w:hAnsi="Times New Roman" w:cs="Times New Roman"/>
          <w:sz w:val="24"/>
          <w:szCs w:val="24"/>
        </w:rPr>
        <w:t>, and cell matrix interactions have been identified in causing a breakdown of this barrier.</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If the barrier is affected it can lead to various conditions such as </w:t>
      </w:r>
      <w:r>
        <w:rPr>
          <w:rFonts w:hint="default" w:ascii="Times New Roman" w:hAnsi="Times New Roman" w:cs="Times New Roman"/>
          <w:b/>
          <w:bCs/>
          <w:sz w:val="24"/>
          <w:szCs w:val="24"/>
          <w:lang w:val="en-US"/>
        </w:rPr>
        <w:t xml:space="preserve">diabetes mellitus and hypertension </w:t>
      </w:r>
      <w:r>
        <w:rPr>
          <w:rFonts w:hint="default" w:ascii="Times New Roman" w:hAnsi="Times New Roman" w:cs="Times New Roman"/>
          <w:b w:val="0"/>
          <w:bCs w:val="0"/>
          <w:sz w:val="24"/>
          <w:szCs w:val="24"/>
          <w:lang w:val="en-US"/>
        </w:rPr>
        <w:t xml:space="preserve">which </w:t>
      </w:r>
      <w:r>
        <w:rPr>
          <w:rFonts w:hint="default" w:ascii="Times New Roman" w:hAnsi="Times New Roman" w:cs="Times New Roman"/>
          <w:sz w:val="24"/>
          <w:szCs w:val="24"/>
          <w:lang w:val="en-US"/>
        </w:rPr>
        <w:t xml:space="preserve">are well recognized as important risk factors for developing chronic kidney disease. </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numPr>
          <w:ilvl w:val="0"/>
          <w:numId w:val="0"/>
        </w:numPr>
        <w:spacing w:line="480" w:lineRule="auto"/>
        <w:rPr>
          <w:rFonts w:hint="default" w:ascii="Times New Roman" w:hAnsi="Times New Roman" w:cs="Times New Roman"/>
          <w:b/>
          <w:bCs/>
          <w:i w:val="0"/>
          <w:iCs w:val="0"/>
          <w:sz w:val="24"/>
          <w:szCs w:val="24"/>
          <w:u w:val="none"/>
          <w:lang w:val="en-US"/>
        </w:rPr>
      </w:pPr>
    </w:p>
    <w:p>
      <w:pPr>
        <w:numPr>
          <w:ilvl w:val="0"/>
          <w:numId w:val="0"/>
        </w:numPr>
        <w:spacing w:line="480" w:lineRule="auto"/>
        <w:rPr>
          <w:rFonts w:hint="default" w:ascii="Times New Roman" w:hAnsi="Times New Roman" w:cs="Times New Roman"/>
          <w:b w:val="0"/>
          <w:bCs w:val="0"/>
          <w:sz w:val="24"/>
          <w:szCs w:val="24"/>
          <w:u w:val="none"/>
          <w:lang w:val="en-US"/>
        </w:rPr>
      </w:pPr>
    </w:p>
    <w:p>
      <w:pPr>
        <w:numPr>
          <w:ilvl w:val="0"/>
          <w:numId w:val="0"/>
        </w:numPr>
        <w:spacing w:line="480" w:lineRule="auto"/>
        <w:rPr>
          <w:rFonts w:hint="default" w:ascii="Times New Roman" w:hAnsi="Times New Roman" w:cs="Times New Roman"/>
          <w:b w:val="0"/>
          <w:bCs w:val="0"/>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20CF0"/>
    <w:rsid w:val="08820CF0"/>
    <w:rsid w:val="330C4C41"/>
    <w:rsid w:val="5585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2020-05-18T13:50:00Z</dcterms:created>
  <dc:creator>CHIMENEM CHRIS</dc:creator>
  <cp:lastModifiedBy>CHIMENEM CHRIS</cp:lastModifiedBy>
  <dcterms:modified xsi:type="dcterms:W3CDTF">2020-05-20T05:22:27Z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