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44" w:rsidRDefault="00994344" w:rsidP="00994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Pr="00994344">
        <w:rPr>
          <w:rFonts w:ascii="Times New Roman" w:hAnsi="Times New Roman" w:cs="Times New Roman"/>
          <w:sz w:val="24"/>
          <w:szCs w:val="24"/>
        </w:rPr>
        <w:t>Araka Anyakora</w:t>
      </w:r>
      <w:r>
        <w:rPr>
          <w:rFonts w:ascii="Times New Roman" w:hAnsi="Times New Roman" w:cs="Times New Roman"/>
          <w:sz w:val="24"/>
          <w:szCs w:val="24"/>
        </w:rPr>
        <w:t xml:space="preserve"> Onyedika.</w:t>
      </w:r>
    </w:p>
    <w:p w:rsidR="00994344" w:rsidRDefault="00994344" w:rsidP="00994344">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17/law01/067</w:t>
      </w:r>
      <w:r w:rsidR="008D5CFA">
        <w:rPr>
          <w:rFonts w:ascii="Times New Roman" w:hAnsi="Times New Roman" w:cs="Times New Roman"/>
          <w:sz w:val="24"/>
          <w:szCs w:val="24"/>
        </w:rPr>
        <w:t>.</w:t>
      </w:r>
    </w:p>
    <w:p w:rsidR="00994344" w:rsidRDefault="00994344" w:rsidP="009943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Challenges of African Human Rights Enforcement Mechanisms include:</w:t>
      </w:r>
    </w:p>
    <w:p w:rsidR="00A9570D" w:rsidRDefault="00994344" w:rsidP="00A9570D">
      <w:pPr>
        <w:pStyle w:val="ListParagraph"/>
        <w:numPr>
          <w:ilvl w:val="0"/>
          <w:numId w:val="5"/>
        </w:numPr>
        <w:spacing w:after="0" w:line="360" w:lineRule="auto"/>
        <w:jc w:val="both"/>
        <w:rPr>
          <w:rFonts w:ascii="Times New Roman" w:hAnsi="Times New Roman" w:cs="Times New Roman"/>
          <w:sz w:val="24"/>
          <w:szCs w:val="24"/>
        </w:rPr>
      </w:pPr>
      <w:r w:rsidRPr="00A9570D">
        <w:rPr>
          <w:rFonts w:ascii="Times New Roman" w:hAnsi="Times New Roman" w:cs="Times New Roman"/>
          <w:sz w:val="24"/>
          <w:szCs w:val="24"/>
          <w:u w:val="single"/>
        </w:rPr>
        <w:t>Limited Access</w:t>
      </w:r>
      <w:r w:rsidR="00023F06">
        <w:rPr>
          <w:rFonts w:ascii="Times New Roman" w:hAnsi="Times New Roman" w:cs="Times New Roman"/>
          <w:sz w:val="24"/>
          <w:szCs w:val="24"/>
          <w:u w:val="single"/>
        </w:rPr>
        <w:t xml:space="preserve"> to Redress</w:t>
      </w:r>
      <w:r w:rsidRPr="00A9570D">
        <w:rPr>
          <w:rFonts w:ascii="Times New Roman" w:hAnsi="Times New Roman" w:cs="Times New Roman"/>
          <w:sz w:val="24"/>
          <w:szCs w:val="24"/>
        </w:rPr>
        <w:t>:</w:t>
      </w:r>
    </w:p>
    <w:p w:rsidR="00994344" w:rsidRPr="00A9570D" w:rsidRDefault="00994344" w:rsidP="008D5CFA">
      <w:pPr>
        <w:spacing w:after="0" w:line="360" w:lineRule="auto"/>
        <w:ind w:firstLine="720"/>
        <w:jc w:val="both"/>
        <w:rPr>
          <w:rFonts w:ascii="Times New Roman" w:hAnsi="Times New Roman" w:cs="Times New Roman"/>
          <w:sz w:val="24"/>
          <w:szCs w:val="24"/>
        </w:rPr>
      </w:pPr>
      <w:r w:rsidRPr="00A9570D">
        <w:rPr>
          <w:rFonts w:ascii="Times New Roman" w:hAnsi="Times New Roman" w:cs="Times New Roman"/>
          <w:sz w:val="24"/>
          <w:szCs w:val="24"/>
        </w:rPr>
        <w:t xml:space="preserve"> Most human rights promotion and protection mechanisms in Africa have as part and parcel of the law creating and enabling them, limited access to redress. Taking a look at the continental mechanisms that is the African Commission and the African Court on Human and Peoples’ rights, their enabling statutes (i.e. The African Charter and the Protocol to the ACtHPR</w:t>
      </w:r>
      <w:r w:rsidR="00B86E40" w:rsidRPr="00A9570D">
        <w:rPr>
          <w:rFonts w:ascii="Times New Roman" w:hAnsi="Times New Roman" w:cs="Times New Roman"/>
          <w:sz w:val="24"/>
          <w:szCs w:val="24"/>
        </w:rPr>
        <w:t>) included</w:t>
      </w:r>
      <w:r w:rsidRPr="00A9570D">
        <w:rPr>
          <w:rFonts w:ascii="Times New Roman" w:hAnsi="Times New Roman" w:cs="Times New Roman"/>
          <w:sz w:val="24"/>
          <w:szCs w:val="24"/>
        </w:rPr>
        <w:t xml:space="preserve"> clause</w:t>
      </w:r>
      <w:r w:rsidR="00B86E40" w:rsidRPr="00A9570D">
        <w:rPr>
          <w:rFonts w:ascii="Times New Roman" w:hAnsi="Times New Roman" w:cs="Times New Roman"/>
          <w:sz w:val="24"/>
          <w:szCs w:val="24"/>
        </w:rPr>
        <w:t>s particularly,</w:t>
      </w:r>
      <w:r w:rsidRPr="00A9570D">
        <w:rPr>
          <w:rFonts w:ascii="Times New Roman" w:hAnsi="Times New Roman" w:cs="Times New Roman"/>
          <w:sz w:val="24"/>
          <w:szCs w:val="24"/>
        </w:rPr>
        <w:t xml:space="preserve"> Article 56 of the Charter and Articles 5(3), 34(6) and 6 of the Protocol </w:t>
      </w:r>
      <w:r w:rsidR="00F10DEE">
        <w:rPr>
          <w:rFonts w:ascii="Times New Roman" w:hAnsi="Times New Roman" w:cs="Times New Roman"/>
          <w:sz w:val="24"/>
          <w:szCs w:val="24"/>
        </w:rPr>
        <w:t xml:space="preserve">to the court, </w:t>
      </w:r>
      <w:bookmarkStart w:id="0" w:name="_GoBack"/>
      <w:bookmarkEnd w:id="0"/>
      <w:r w:rsidRPr="00A9570D">
        <w:rPr>
          <w:rFonts w:ascii="Times New Roman" w:hAnsi="Times New Roman" w:cs="Times New Roman"/>
          <w:sz w:val="24"/>
          <w:szCs w:val="24"/>
        </w:rPr>
        <w:t xml:space="preserve">to the effect of limiting the number of people that can actually approach the court. </w:t>
      </w:r>
      <w:r w:rsidR="009B3CE7" w:rsidRPr="00A9570D">
        <w:rPr>
          <w:rFonts w:ascii="Times New Roman" w:hAnsi="Times New Roman" w:cs="Times New Roman"/>
          <w:sz w:val="24"/>
          <w:szCs w:val="24"/>
        </w:rPr>
        <w:t xml:space="preserve">This </w:t>
      </w:r>
      <w:r w:rsidR="00B86E40" w:rsidRPr="00A9570D">
        <w:rPr>
          <w:rFonts w:ascii="Times New Roman" w:hAnsi="Times New Roman" w:cs="Times New Roman"/>
          <w:sz w:val="24"/>
          <w:szCs w:val="24"/>
        </w:rPr>
        <w:t>is evidenced</w:t>
      </w:r>
      <w:r w:rsidR="009B3CE7" w:rsidRPr="00A9570D">
        <w:rPr>
          <w:rFonts w:ascii="Times New Roman" w:hAnsi="Times New Roman" w:cs="Times New Roman"/>
          <w:sz w:val="24"/>
          <w:szCs w:val="24"/>
        </w:rPr>
        <w:t xml:space="preserve"> in the ACtHPR cases of </w:t>
      </w:r>
      <w:r w:rsidR="009B3CE7" w:rsidRPr="00A9570D">
        <w:rPr>
          <w:rFonts w:ascii="Times New Roman" w:hAnsi="Times New Roman" w:cs="Times New Roman"/>
          <w:b/>
          <w:i/>
          <w:sz w:val="24"/>
          <w:szCs w:val="24"/>
        </w:rPr>
        <w:t xml:space="preserve">Michelot Yogogombaye v </w:t>
      </w:r>
      <w:r w:rsidR="00B86E40" w:rsidRPr="00A9570D">
        <w:rPr>
          <w:rFonts w:ascii="Times New Roman" w:hAnsi="Times New Roman" w:cs="Times New Roman"/>
          <w:b/>
          <w:i/>
          <w:sz w:val="24"/>
          <w:szCs w:val="24"/>
        </w:rPr>
        <w:t xml:space="preserve">Senegal </w:t>
      </w:r>
      <w:r w:rsidR="00B86E40" w:rsidRPr="00A9570D">
        <w:rPr>
          <w:rFonts w:ascii="Times New Roman" w:hAnsi="Times New Roman" w:cs="Times New Roman"/>
          <w:sz w:val="24"/>
          <w:szCs w:val="24"/>
        </w:rPr>
        <w:t xml:space="preserve">and </w:t>
      </w:r>
      <w:r w:rsidR="009B3CE7" w:rsidRPr="00A9570D">
        <w:rPr>
          <w:rFonts w:ascii="Times New Roman" w:hAnsi="Times New Roman" w:cs="Times New Roman"/>
          <w:b/>
          <w:i/>
          <w:sz w:val="24"/>
          <w:szCs w:val="24"/>
        </w:rPr>
        <w:t>Ekollo v The Cameroon and Nigeria</w:t>
      </w:r>
      <w:r w:rsidR="00B86E40" w:rsidRPr="00A9570D">
        <w:rPr>
          <w:rFonts w:ascii="Times New Roman" w:hAnsi="Times New Roman" w:cs="Times New Roman"/>
          <w:sz w:val="24"/>
          <w:szCs w:val="24"/>
        </w:rPr>
        <w:t>.</w:t>
      </w:r>
      <w:r w:rsidR="009B3CE7" w:rsidRPr="00A9570D">
        <w:rPr>
          <w:rFonts w:ascii="Times New Roman" w:hAnsi="Times New Roman" w:cs="Times New Roman"/>
          <w:sz w:val="24"/>
          <w:szCs w:val="24"/>
        </w:rPr>
        <w:t xml:space="preserve"> where the court did not have jurisdiction as a declaration was needed </w:t>
      </w:r>
      <w:r w:rsidR="003A225E">
        <w:rPr>
          <w:rFonts w:ascii="Times New Roman" w:hAnsi="Times New Roman" w:cs="Times New Roman"/>
          <w:sz w:val="24"/>
          <w:szCs w:val="24"/>
        </w:rPr>
        <w:t>from</w:t>
      </w:r>
      <w:r w:rsidR="009B3CE7" w:rsidRPr="00A9570D">
        <w:rPr>
          <w:rFonts w:ascii="Times New Roman" w:hAnsi="Times New Roman" w:cs="Times New Roman"/>
          <w:sz w:val="24"/>
          <w:szCs w:val="24"/>
        </w:rPr>
        <w:t xml:space="preserve"> the various countries. Also, Article 55 of the African Charter enjoins the Commission to pick what cases or communications to hear. </w:t>
      </w:r>
    </w:p>
    <w:p w:rsidR="004E4614" w:rsidRDefault="004E4614" w:rsidP="0007322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Solution:</w:t>
      </w:r>
    </w:p>
    <w:p w:rsidR="009B3CE7" w:rsidRDefault="004E4614" w:rsidP="004E461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EU court access to court system should be adopted to replace the current ones. </w:t>
      </w:r>
    </w:p>
    <w:p w:rsidR="003A225E" w:rsidRDefault="003A225E" w:rsidP="003A22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Au should see to it that its member states make the necessary ratification and declaration needed. </w:t>
      </w:r>
    </w:p>
    <w:p w:rsidR="003A225E" w:rsidRPr="00A9570D" w:rsidRDefault="003A225E" w:rsidP="003A225E">
      <w:pPr>
        <w:pStyle w:val="ListParagraph"/>
        <w:spacing w:after="0" w:line="360" w:lineRule="auto"/>
        <w:jc w:val="both"/>
        <w:rPr>
          <w:rFonts w:ascii="Times New Roman" w:hAnsi="Times New Roman" w:cs="Times New Roman"/>
          <w:sz w:val="24"/>
          <w:szCs w:val="24"/>
        </w:rPr>
      </w:pPr>
    </w:p>
    <w:p w:rsidR="00A9570D" w:rsidRPr="00A9570D" w:rsidRDefault="00B86E40" w:rsidP="00A9570D">
      <w:pPr>
        <w:pStyle w:val="ListParagraph"/>
        <w:numPr>
          <w:ilvl w:val="0"/>
          <w:numId w:val="5"/>
        </w:numPr>
        <w:spacing w:after="0" w:line="360" w:lineRule="auto"/>
        <w:jc w:val="both"/>
        <w:rPr>
          <w:rFonts w:ascii="Times New Roman" w:hAnsi="Times New Roman" w:cs="Times New Roman"/>
          <w:sz w:val="24"/>
          <w:szCs w:val="24"/>
        </w:rPr>
      </w:pPr>
      <w:r w:rsidRPr="00A9570D">
        <w:rPr>
          <w:rFonts w:ascii="Times New Roman" w:hAnsi="Times New Roman" w:cs="Times New Roman"/>
          <w:sz w:val="24"/>
          <w:szCs w:val="24"/>
          <w:u w:val="single"/>
        </w:rPr>
        <w:t>Bureaucracy:</w:t>
      </w:r>
    </w:p>
    <w:p w:rsidR="00B86E40" w:rsidRPr="00A9570D" w:rsidRDefault="00B86E40" w:rsidP="00A9570D">
      <w:pPr>
        <w:spacing w:after="0" w:line="360" w:lineRule="auto"/>
        <w:ind w:firstLine="360"/>
        <w:jc w:val="both"/>
        <w:rPr>
          <w:rFonts w:ascii="Times New Roman" w:hAnsi="Times New Roman" w:cs="Times New Roman"/>
          <w:sz w:val="24"/>
          <w:szCs w:val="24"/>
        </w:rPr>
      </w:pPr>
      <w:r w:rsidRPr="00A9570D">
        <w:rPr>
          <w:rFonts w:ascii="Times New Roman" w:hAnsi="Times New Roman" w:cs="Times New Roman"/>
          <w:sz w:val="24"/>
          <w:szCs w:val="24"/>
        </w:rPr>
        <w:t xml:space="preserve"> </w:t>
      </w:r>
      <w:r w:rsidR="008D5CFA">
        <w:rPr>
          <w:rFonts w:ascii="Times New Roman" w:hAnsi="Times New Roman" w:cs="Times New Roman"/>
          <w:sz w:val="24"/>
          <w:szCs w:val="24"/>
        </w:rPr>
        <w:tab/>
      </w:r>
      <w:r w:rsidR="009B3CE7" w:rsidRPr="00A9570D">
        <w:rPr>
          <w:rFonts w:ascii="Times New Roman" w:hAnsi="Times New Roman" w:cs="Times New Roman"/>
          <w:sz w:val="24"/>
          <w:szCs w:val="24"/>
        </w:rPr>
        <w:t>African human rights protection mechanisms are se</w:t>
      </w:r>
      <w:r w:rsidR="00F32586" w:rsidRPr="00A9570D">
        <w:rPr>
          <w:rFonts w:ascii="Times New Roman" w:hAnsi="Times New Roman" w:cs="Times New Roman"/>
          <w:sz w:val="24"/>
          <w:szCs w:val="24"/>
        </w:rPr>
        <w:t xml:space="preserve">riously plagued with bureaucracy </w:t>
      </w:r>
      <w:r w:rsidR="009B3CE7" w:rsidRPr="00A9570D">
        <w:rPr>
          <w:rFonts w:ascii="Times New Roman" w:hAnsi="Times New Roman" w:cs="Times New Roman"/>
          <w:sz w:val="24"/>
          <w:szCs w:val="24"/>
        </w:rPr>
        <w:t>to a suffocating point.</w:t>
      </w:r>
      <w:r w:rsidR="008D5CFA">
        <w:rPr>
          <w:rFonts w:ascii="Times New Roman" w:hAnsi="Times New Roman" w:cs="Times New Roman"/>
          <w:sz w:val="24"/>
          <w:szCs w:val="24"/>
        </w:rPr>
        <w:t xml:space="preserve"> Looking at</w:t>
      </w:r>
      <w:r w:rsidR="009B3CE7" w:rsidRPr="00A9570D">
        <w:rPr>
          <w:rFonts w:ascii="Times New Roman" w:hAnsi="Times New Roman" w:cs="Times New Roman"/>
          <w:sz w:val="24"/>
          <w:szCs w:val="24"/>
        </w:rPr>
        <w:t xml:space="preserve"> the African Commission</w:t>
      </w:r>
      <w:r w:rsidR="00F32586" w:rsidRPr="00A9570D">
        <w:rPr>
          <w:rFonts w:ascii="Times New Roman" w:hAnsi="Times New Roman" w:cs="Times New Roman"/>
          <w:sz w:val="24"/>
          <w:szCs w:val="24"/>
        </w:rPr>
        <w:t xml:space="preserve"> and the ACtHPR, there are lots of tapes to cut through for action to be taken. In the case of the African Commission, almost all its</w:t>
      </w:r>
      <w:r w:rsidR="008D5CFA">
        <w:rPr>
          <w:rFonts w:ascii="Times New Roman" w:hAnsi="Times New Roman" w:cs="Times New Roman"/>
          <w:sz w:val="24"/>
          <w:szCs w:val="24"/>
        </w:rPr>
        <w:t xml:space="preserve"> vital</w:t>
      </w:r>
      <w:r w:rsidR="00F32586" w:rsidRPr="00A9570D">
        <w:rPr>
          <w:rFonts w:ascii="Times New Roman" w:hAnsi="Times New Roman" w:cs="Times New Roman"/>
          <w:sz w:val="24"/>
          <w:szCs w:val="24"/>
        </w:rPr>
        <w:t xml:space="preserve"> actions are being controlled by the Assembly of</w:t>
      </w:r>
      <w:r w:rsidR="004E4614">
        <w:rPr>
          <w:rFonts w:ascii="Times New Roman" w:hAnsi="Times New Roman" w:cs="Times New Roman"/>
          <w:sz w:val="24"/>
          <w:szCs w:val="24"/>
        </w:rPr>
        <w:t xml:space="preserve"> Heads of State.</w:t>
      </w:r>
    </w:p>
    <w:p w:rsidR="00994344" w:rsidRDefault="00F32586" w:rsidP="008D5CFA">
      <w:pPr>
        <w:spacing w:after="0" w:line="360" w:lineRule="auto"/>
        <w:ind w:firstLine="720"/>
        <w:jc w:val="both"/>
        <w:rPr>
          <w:rFonts w:ascii="Times New Roman" w:hAnsi="Times New Roman" w:cs="Times New Roman"/>
          <w:sz w:val="24"/>
          <w:szCs w:val="24"/>
        </w:rPr>
      </w:pPr>
      <w:r w:rsidRPr="00A9570D">
        <w:rPr>
          <w:rFonts w:ascii="Times New Roman" w:hAnsi="Times New Roman" w:cs="Times New Roman"/>
          <w:sz w:val="24"/>
          <w:szCs w:val="24"/>
        </w:rPr>
        <w:t xml:space="preserve">Articles 58 and 59 of the African charter gives the Commission the duty of preparing reports and recommendations on human rights violations. These articles however, also make the publishing of these reports and recommendations subject to the request of the Assembly of Heads of State. This bureaucracy can be seen as a form of check on the arbitrariness of the commission, but </w:t>
      </w:r>
      <w:r w:rsidR="00B86E40" w:rsidRPr="00A9570D">
        <w:rPr>
          <w:rFonts w:ascii="Times New Roman" w:hAnsi="Times New Roman" w:cs="Times New Roman"/>
          <w:sz w:val="24"/>
          <w:szCs w:val="24"/>
        </w:rPr>
        <w:t>it also makes the C</w:t>
      </w:r>
      <w:r w:rsidRPr="00A9570D">
        <w:rPr>
          <w:rFonts w:ascii="Times New Roman" w:hAnsi="Times New Roman" w:cs="Times New Roman"/>
          <w:sz w:val="24"/>
          <w:szCs w:val="24"/>
        </w:rPr>
        <w:t>ommission ineffective. In the case</w:t>
      </w:r>
      <w:r w:rsidR="00B86E40" w:rsidRPr="00A9570D">
        <w:rPr>
          <w:rFonts w:ascii="Times New Roman" w:hAnsi="Times New Roman" w:cs="Times New Roman"/>
          <w:sz w:val="24"/>
          <w:szCs w:val="24"/>
        </w:rPr>
        <w:t>s</w:t>
      </w:r>
      <w:r w:rsidRPr="00A9570D">
        <w:rPr>
          <w:rFonts w:ascii="Times New Roman" w:hAnsi="Times New Roman" w:cs="Times New Roman"/>
          <w:sz w:val="24"/>
          <w:szCs w:val="24"/>
        </w:rPr>
        <w:t xml:space="preserve"> of </w:t>
      </w:r>
      <w:r w:rsidRPr="00A9570D">
        <w:rPr>
          <w:rFonts w:ascii="Times New Roman" w:hAnsi="Times New Roman" w:cs="Times New Roman"/>
          <w:b/>
          <w:i/>
          <w:sz w:val="24"/>
          <w:szCs w:val="24"/>
        </w:rPr>
        <w:t>Inter Rights on behalf of Ken-Saro Wiwa &amp; Ors v Nigeria</w:t>
      </w:r>
      <w:r w:rsidR="00B86E40" w:rsidRPr="00A9570D">
        <w:rPr>
          <w:rFonts w:ascii="Times New Roman" w:hAnsi="Times New Roman" w:cs="Times New Roman"/>
          <w:sz w:val="24"/>
          <w:szCs w:val="24"/>
        </w:rPr>
        <w:t xml:space="preserve"> and </w:t>
      </w:r>
      <w:r w:rsidR="00B86E40" w:rsidRPr="00A9570D">
        <w:rPr>
          <w:rFonts w:ascii="Times New Roman" w:hAnsi="Times New Roman" w:cs="Times New Roman"/>
          <w:b/>
          <w:i/>
          <w:sz w:val="24"/>
          <w:szCs w:val="24"/>
        </w:rPr>
        <w:t>Constitutional</w:t>
      </w:r>
      <w:r w:rsidRPr="00A9570D">
        <w:rPr>
          <w:rFonts w:ascii="Times New Roman" w:hAnsi="Times New Roman" w:cs="Times New Roman"/>
          <w:b/>
          <w:i/>
          <w:sz w:val="24"/>
          <w:szCs w:val="24"/>
        </w:rPr>
        <w:t>. Rights Project in Respect of Zamani Lekwot &amp; Ors v Nigeria</w:t>
      </w:r>
      <w:r w:rsidRPr="00A9570D">
        <w:rPr>
          <w:rFonts w:ascii="Times New Roman" w:hAnsi="Times New Roman" w:cs="Times New Roman"/>
          <w:sz w:val="24"/>
          <w:szCs w:val="24"/>
        </w:rPr>
        <w:t>, the Commission’s inquiry into the Nigerian government’s alleged violation</w:t>
      </w:r>
      <w:r w:rsidR="00442722">
        <w:rPr>
          <w:rFonts w:ascii="Times New Roman" w:hAnsi="Times New Roman" w:cs="Times New Roman"/>
          <w:sz w:val="24"/>
          <w:szCs w:val="24"/>
        </w:rPr>
        <w:t xml:space="preserve"> of human rights was fatally </w:t>
      </w:r>
      <w:r w:rsidRPr="00A9570D">
        <w:rPr>
          <w:rFonts w:ascii="Times New Roman" w:hAnsi="Times New Roman" w:cs="Times New Roman"/>
          <w:sz w:val="24"/>
          <w:szCs w:val="24"/>
        </w:rPr>
        <w:t xml:space="preserve">late, and the eventual reports and recommendations were never published. </w:t>
      </w:r>
    </w:p>
    <w:p w:rsidR="00A9570D" w:rsidRPr="00A9570D" w:rsidRDefault="00A9570D" w:rsidP="008D5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the ACtHPR, Article 2 of its protocol tied it to the African Commission, thereby, making it a supplement to it. This meant that the Court inherited certain flaws. For example, Article 6 of the Court which deals with admissibility </w:t>
      </w:r>
      <w:r w:rsidR="0007322D">
        <w:rPr>
          <w:rFonts w:ascii="Times New Roman" w:hAnsi="Times New Roman" w:cs="Times New Roman"/>
          <w:sz w:val="24"/>
          <w:szCs w:val="24"/>
        </w:rPr>
        <w:t>of cases incorporated the opinion of the Commission as one of the classes.</w:t>
      </w:r>
      <w:r>
        <w:rPr>
          <w:rFonts w:ascii="Times New Roman" w:hAnsi="Times New Roman" w:cs="Times New Roman"/>
          <w:sz w:val="24"/>
          <w:szCs w:val="24"/>
        </w:rPr>
        <w:t xml:space="preserve"> </w:t>
      </w:r>
    </w:p>
    <w:p w:rsidR="00B86E40" w:rsidRDefault="00B86E40" w:rsidP="004C1EC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Also, </w:t>
      </w:r>
      <w:r w:rsidR="00A9570D">
        <w:rPr>
          <w:rFonts w:ascii="Times New Roman" w:hAnsi="Times New Roman" w:cs="Times New Roman"/>
          <w:sz w:val="24"/>
          <w:szCs w:val="24"/>
        </w:rPr>
        <w:t xml:space="preserve">the Human Rights Commissions of various states are answerable to the executive arm of government of those various states which makes almost impossible to effectively function as they would be protecting and promoting human rights at the detriment of the government particularly, the executive.  </w:t>
      </w:r>
    </w:p>
    <w:p w:rsidR="004C1EC1" w:rsidRDefault="0007322D" w:rsidP="004C1EC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Solution:</w:t>
      </w:r>
      <w:r w:rsidR="004C1EC1">
        <w:rPr>
          <w:rFonts w:ascii="Times New Roman" w:hAnsi="Times New Roman" w:cs="Times New Roman"/>
          <w:sz w:val="24"/>
          <w:szCs w:val="24"/>
        </w:rPr>
        <w:t xml:space="preserve"> Control of these institutions should only be to prevent arbitrariness and not making them ineffective thus, they should be allowed to publish reports and recommendations without seeking permission of the government or the Assembly of Heads of State. The protocol of the ACtHPR should be amended to make it free of the Commission and by extension, the Assembly of Heads of State.</w:t>
      </w:r>
    </w:p>
    <w:p w:rsidR="004C1EC1" w:rsidRPr="004C1EC1" w:rsidRDefault="004C1EC1" w:rsidP="004C1EC1">
      <w:pPr>
        <w:pStyle w:val="ListParagraph"/>
        <w:spacing w:line="360" w:lineRule="auto"/>
        <w:jc w:val="both"/>
        <w:rPr>
          <w:rFonts w:ascii="Times New Roman" w:hAnsi="Times New Roman" w:cs="Times New Roman"/>
          <w:sz w:val="24"/>
          <w:szCs w:val="24"/>
        </w:rPr>
      </w:pPr>
    </w:p>
    <w:p w:rsidR="0007322D" w:rsidRDefault="0007322D" w:rsidP="0007322D">
      <w:pPr>
        <w:pStyle w:val="ListParagraph"/>
        <w:numPr>
          <w:ilvl w:val="0"/>
          <w:numId w:val="5"/>
        </w:numPr>
        <w:spacing w:after="0" w:line="360" w:lineRule="auto"/>
        <w:jc w:val="both"/>
        <w:rPr>
          <w:rFonts w:ascii="Times New Roman" w:hAnsi="Times New Roman" w:cs="Times New Roman"/>
          <w:sz w:val="24"/>
          <w:szCs w:val="24"/>
        </w:rPr>
      </w:pPr>
      <w:r w:rsidRPr="0007322D">
        <w:rPr>
          <w:rFonts w:ascii="Times New Roman" w:hAnsi="Times New Roman" w:cs="Times New Roman"/>
          <w:sz w:val="24"/>
          <w:szCs w:val="24"/>
          <w:u w:val="single"/>
        </w:rPr>
        <w:t>Lack of Independence</w:t>
      </w:r>
      <w:r>
        <w:rPr>
          <w:rFonts w:ascii="Times New Roman" w:hAnsi="Times New Roman" w:cs="Times New Roman"/>
          <w:sz w:val="24"/>
          <w:szCs w:val="24"/>
        </w:rPr>
        <w:t xml:space="preserve">: </w:t>
      </w:r>
    </w:p>
    <w:p w:rsidR="0007322D" w:rsidRDefault="0007322D" w:rsidP="008D5CFA">
      <w:pPr>
        <w:spacing w:after="0" w:line="360" w:lineRule="auto"/>
        <w:ind w:firstLine="720"/>
        <w:jc w:val="both"/>
        <w:rPr>
          <w:rFonts w:ascii="Times New Roman" w:hAnsi="Times New Roman" w:cs="Times New Roman"/>
          <w:sz w:val="24"/>
          <w:szCs w:val="24"/>
        </w:rPr>
      </w:pPr>
      <w:r w:rsidRPr="0007322D">
        <w:rPr>
          <w:rFonts w:ascii="Times New Roman" w:hAnsi="Times New Roman" w:cs="Times New Roman"/>
          <w:sz w:val="24"/>
          <w:szCs w:val="24"/>
        </w:rPr>
        <w:t>This</w:t>
      </w:r>
      <w:r w:rsidR="004E4614">
        <w:rPr>
          <w:rFonts w:ascii="Times New Roman" w:hAnsi="Times New Roman" w:cs="Times New Roman"/>
          <w:sz w:val="24"/>
          <w:szCs w:val="24"/>
        </w:rPr>
        <w:t xml:space="preserve"> can take the</w:t>
      </w:r>
      <w:r>
        <w:rPr>
          <w:rFonts w:ascii="Times New Roman" w:hAnsi="Times New Roman" w:cs="Times New Roman"/>
          <w:sz w:val="24"/>
          <w:szCs w:val="24"/>
        </w:rPr>
        <w:t xml:space="preserve"> </w:t>
      </w:r>
      <w:r w:rsidR="004E4614">
        <w:rPr>
          <w:rFonts w:ascii="Times New Roman" w:hAnsi="Times New Roman" w:cs="Times New Roman"/>
          <w:sz w:val="24"/>
          <w:szCs w:val="24"/>
        </w:rPr>
        <w:t>form of dependence on</w:t>
      </w:r>
      <w:r>
        <w:rPr>
          <w:rFonts w:ascii="Times New Roman" w:hAnsi="Times New Roman" w:cs="Times New Roman"/>
          <w:sz w:val="24"/>
          <w:szCs w:val="24"/>
        </w:rPr>
        <w:t xml:space="preserve"> funds or staff. Almost all H.R institutions are designed to be dependent on a parent institution to serve as a check, but in the case of African H.R institutions, the degree of their dependency is to the effect of rendering them ineffective. </w:t>
      </w:r>
    </w:p>
    <w:p w:rsidR="00F32586" w:rsidRDefault="0007322D" w:rsidP="008D5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the African Commission under Article 41 of the ACHPR depends on the General Secret</w:t>
      </w:r>
      <w:r w:rsidR="004E4614">
        <w:rPr>
          <w:rFonts w:ascii="Times New Roman" w:hAnsi="Times New Roman" w:cs="Times New Roman"/>
          <w:sz w:val="24"/>
          <w:szCs w:val="24"/>
        </w:rPr>
        <w:t>ary of the AU for all its resources</w:t>
      </w:r>
      <w:r>
        <w:rPr>
          <w:rFonts w:ascii="Times New Roman" w:hAnsi="Times New Roman" w:cs="Times New Roman"/>
          <w:sz w:val="24"/>
          <w:szCs w:val="24"/>
        </w:rPr>
        <w:t>. It also needs instructions from</w:t>
      </w:r>
      <w:r w:rsidR="004E4614">
        <w:rPr>
          <w:rFonts w:ascii="Times New Roman" w:hAnsi="Times New Roman" w:cs="Times New Roman"/>
          <w:sz w:val="24"/>
          <w:szCs w:val="24"/>
        </w:rPr>
        <w:t xml:space="preserve"> the Assembly of Heads of State</w:t>
      </w:r>
      <w:r>
        <w:rPr>
          <w:rFonts w:ascii="Times New Roman" w:hAnsi="Times New Roman" w:cs="Times New Roman"/>
          <w:sz w:val="24"/>
          <w:szCs w:val="24"/>
        </w:rPr>
        <w:t xml:space="preserve"> </w:t>
      </w:r>
      <w:r w:rsidR="006A4991">
        <w:rPr>
          <w:rFonts w:ascii="Times New Roman" w:hAnsi="Times New Roman" w:cs="Times New Roman"/>
          <w:sz w:val="24"/>
          <w:szCs w:val="24"/>
        </w:rPr>
        <w:t xml:space="preserve">to function under Articles 58 and 59. </w:t>
      </w:r>
    </w:p>
    <w:p w:rsidR="006A4991" w:rsidRDefault="006A4991" w:rsidP="008D5CF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 the ACtHPR depends on the Commission under Article 6 to admit cases and also depends on the Commission under Article 33 for its rules of procedure. As stated earlier, the Human Rights Commission depends on the Executive arm of various state governments for virtually everything from funds to appointment of its staff and remuneration.</w:t>
      </w:r>
    </w:p>
    <w:p w:rsidR="00587F53" w:rsidRDefault="006A4991" w:rsidP="00587F5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Solution</w:t>
      </w:r>
      <w:r w:rsidR="004E4614">
        <w:rPr>
          <w:rFonts w:ascii="Times New Roman" w:hAnsi="Times New Roman" w:cs="Times New Roman"/>
          <w:sz w:val="24"/>
          <w:szCs w:val="24"/>
        </w:rPr>
        <w:t>s</w:t>
      </w:r>
      <w:r>
        <w:rPr>
          <w:rFonts w:ascii="Times New Roman" w:hAnsi="Times New Roman" w:cs="Times New Roman"/>
          <w:sz w:val="24"/>
          <w:szCs w:val="24"/>
        </w:rPr>
        <w:t xml:space="preserve">: </w:t>
      </w:r>
    </w:p>
    <w:p w:rsidR="00587F53" w:rsidRPr="00587F53" w:rsidRDefault="004E4614" w:rsidP="00587F53">
      <w:pPr>
        <w:spacing w:after="0" w:line="360" w:lineRule="auto"/>
        <w:ind w:firstLine="720"/>
        <w:jc w:val="both"/>
        <w:rPr>
          <w:rFonts w:ascii="Times New Roman" w:hAnsi="Times New Roman" w:cs="Times New Roman"/>
          <w:sz w:val="24"/>
          <w:szCs w:val="24"/>
        </w:rPr>
      </w:pPr>
      <w:r w:rsidRPr="00587F53">
        <w:rPr>
          <w:rFonts w:ascii="Times New Roman" w:hAnsi="Times New Roman" w:cs="Times New Roman"/>
          <w:sz w:val="24"/>
          <w:szCs w:val="24"/>
        </w:rPr>
        <w:t>T</w:t>
      </w:r>
      <w:r w:rsidR="006A4991" w:rsidRPr="00587F53">
        <w:rPr>
          <w:rFonts w:ascii="Times New Roman" w:hAnsi="Times New Roman" w:cs="Times New Roman"/>
          <w:sz w:val="24"/>
          <w:szCs w:val="24"/>
        </w:rPr>
        <w:t>he Human Rights Commission should be distanced from the claws of the Execu</w:t>
      </w:r>
      <w:r w:rsidR="002667CE" w:rsidRPr="00587F53">
        <w:rPr>
          <w:rFonts w:ascii="Times New Roman" w:hAnsi="Times New Roman" w:cs="Times New Roman"/>
          <w:sz w:val="24"/>
          <w:szCs w:val="24"/>
        </w:rPr>
        <w:t xml:space="preserve">tive by giving it total freedom only to be checked by the Judiciary. </w:t>
      </w:r>
    </w:p>
    <w:p w:rsidR="002667CE" w:rsidRDefault="004E4614" w:rsidP="008D5CFA">
      <w:pPr>
        <w:spacing w:after="0" w:line="360" w:lineRule="auto"/>
        <w:ind w:firstLine="720"/>
        <w:jc w:val="both"/>
        <w:rPr>
          <w:rFonts w:ascii="Times New Roman" w:hAnsi="Times New Roman" w:cs="Times New Roman"/>
          <w:sz w:val="24"/>
          <w:szCs w:val="24"/>
        </w:rPr>
      </w:pPr>
      <w:r w:rsidRPr="00587F53">
        <w:rPr>
          <w:rFonts w:ascii="Times New Roman" w:hAnsi="Times New Roman" w:cs="Times New Roman"/>
          <w:sz w:val="24"/>
          <w:szCs w:val="24"/>
        </w:rPr>
        <w:t>T</w:t>
      </w:r>
      <w:r w:rsidR="002667CE" w:rsidRPr="00587F53">
        <w:rPr>
          <w:rFonts w:ascii="Times New Roman" w:hAnsi="Times New Roman" w:cs="Times New Roman"/>
          <w:sz w:val="24"/>
          <w:szCs w:val="24"/>
        </w:rPr>
        <w:t>he ACtHPR and the Commission should be separated from each other as that of the European system and the unnecessary grip the Assembly of Heads of State and the General Secretary have on the Commission should be loosened.</w:t>
      </w:r>
    </w:p>
    <w:p w:rsidR="00587F53" w:rsidRDefault="00587F53" w:rsidP="00587F53">
      <w:pPr>
        <w:spacing w:after="0" w:line="360" w:lineRule="auto"/>
        <w:ind w:left="360" w:firstLine="360"/>
        <w:jc w:val="both"/>
        <w:rPr>
          <w:rFonts w:ascii="Times New Roman" w:hAnsi="Times New Roman" w:cs="Times New Roman"/>
          <w:sz w:val="24"/>
          <w:szCs w:val="24"/>
        </w:rPr>
      </w:pPr>
    </w:p>
    <w:p w:rsidR="00587F53" w:rsidRPr="00587F53" w:rsidRDefault="00587F53" w:rsidP="00587F53">
      <w:pPr>
        <w:spacing w:after="0" w:line="360" w:lineRule="auto"/>
        <w:ind w:left="360" w:firstLine="360"/>
        <w:jc w:val="both"/>
        <w:rPr>
          <w:rFonts w:ascii="Times New Roman" w:hAnsi="Times New Roman" w:cs="Times New Roman"/>
          <w:sz w:val="24"/>
          <w:szCs w:val="24"/>
        </w:rPr>
      </w:pPr>
    </w:p>
    <w:p w:rsidR="002667CE" w:rsidRDefault="002667CE" w:rsidP="002667CE">
      <w:pPr>
        <w:spacing w:after="0" w:line="360" w:lineRule="auto"/>
        <w:jc w:val="both"/>
        <w:rPr>
          <w:rFonts w:ascii="Times New Roman" w:hAnsi="Times New Roman" w:cs="Times New Roman"/>
          <w:sz w:val="24"/>
          <w:szCs w:val="24"/>
        </w:rPr>
      </w:pPr>
      <w:r w:rsidRPr="002667CE">
        <w:rPr>
          <w:rFonts w:ascii="Times New Roman" w:hAnsi="Times New Roman" w:cs="Times New Roman"/>
          <w:sz w:val="24"/>
          <w:szCs w:val="24"/>
        </w:rPr>
        <w:lastRenderedPageBreak/>
        <w:t>Other problems include:</w:t>
      </w:r>
    </w:p>
    <w:p w:rsidR="002667CE" w:rsidRDefault="004C1EC1" w:rsidP="002667C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Nonchalance of states to domesticate</w:t>
      </w:r>
      <w:r w:rsidR="002667CE">
        <w:rPr>
          <w:rFonts w:ascii="Times New Roman" w:hAnsi="Times New Roman" w:cs="Times New Roman"/>
          <w:sz w:val="24"/>
          <w:szCs w:val="24"/>
        </w:rPr>
        <w:t xml:space="preserve"> and make </w:t>
      </w:r>
      <w:r>
        <w:rPr>
          <w:rFonts w:ascii="Times New Roman" w:hAnsi="Times New Roman" w:cs="Times New Roman"/>
          <w:sz w:val="24"/>
          <w:szCs w:val="24"/>
        </w:rPr>
        <w:t>the necessary declarations for the proper functioning of the institutions;</w:t>
      </w:r>
    </w:p>
    <w:p w:rsidR="004C1EC1" w:rsidRDefault="004C1EC1" w:rsidP="002667C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Gross disregard of the decision of the </w:t>
      </w:r>
      <w:r w:rsidR="00587F53">
        <w:rPr>
          <w:rFonts w:ascii="Times New Roman" w:hAnsi="Times New Roman" w:cs="Times New Roman"/>
          <w:sz w:val="24"/>
          <w:szCs w:val="24"/>
        </w:rPr>
        <w:t>institutions;</w:t>
      </w:r>
    </w:p>
    <w:p w:rsidR="00587F53" w:rsidRDefault="00587F53" w:rsidP="002667C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Lack of enforcement of institutional decisions;</w:t>
      </w:r>
    </w:p>
    <w:p w:rsidR="00587F53" w:rsidRPr="002667CE" w:rsidRDefault="00587F53" w:rsidP="002667C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Lack of accountability, etc.</w:t>
      </w:r>
    </w:p>
    <w:sectPr w:rsidR="00587F53" w:rsidRPr="00266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A2" w:rsidRDefault="00DE56A2" w:rsidP="002667CE">
      <w:pPr>
        <w:spacing w:after="0" w:line="240" w:lineRule="auto"/>
      </w:pPr>
      <w:r>
        <w:separator/>
      </w:r>
    </w:p>
  </w:endnote>
  <w:endnote w:type="continuationSeparator" w:id="0">
    <w:p w:rsidR="00DE56A2" w:rsidRDefault="00DE56A2" w:rsidP="002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A2" w:rsidRDefault="00DE56A2" w:rsidP="002667CE">
      <w:pPr>
        <w:spacing w:after="0" w:line="240" w:lineRule="auto"/>
      </w:pPr>
      <w:r>
        <w:separator/>
      </w:r>
    </w:p>
  </w:footnote>
  <w:footnote w:type="continuationSeparator" w:id="0">
    <w:p w:rsidR="00DE56A2" w:rsidRDefault="00DE56A2" w:rsidP="0026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567"/>
    <w:multiLevelType w:val="hybridMultilevel"/>
    <w:tmpl w:val="24401530"/>
    <w:lvl w:ilvl="0" w:tplc="740080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106EC"/>
    <w:multiLevelType w:val="hybridMultilevel"/>
    <w:tmpl w:val="8838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573DA"/>
    <w:multiLevelType w:val="hybridMultilevel"/>
    <w:tmpl w:val="2748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54BEE"/>
    <w:multiLevelType w:val="hybridMultilevel"/>
    <w:tmpl w:val="4E8EE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B6735E"/>
    <w:multiLevelType w:val="hybridMultilevel"/>
    <w:tmpl w:val="631481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44"/>
    <w:rsid w:val="00023F06"/>
    <w:rsid w:val="0007322D"/>
    <w:rsid w:val="002667CE"/>
    <w:rsid w:val="003A225E"/>
    <w:rsid w:val="00442722"/>
    <w:rsid w:val="004C1EC1"/>
    <w:rsid w:val="004E4614"/>
    <w:rsid w:val="00587F53"/>
    <w:rsid w:val="00597CF5"/>
    <w:rsid w:val="006A4991"/>
    <w:rsid w:val="006E494A"/>
    <w:rsid w:val="008D5CFA"/>
    <w:rsid w:val="00994344"/>
    <w:rsid w:val="009B3CE7"/>
    <w:rsid w:val="00A9570D"/>
    <w:rsid w:val="00B86E40"/>
    <w:rsid w:val="00DE56A2"/>
    <w:rsid w:val="00F10DEE"/>
    <w:rsid w:val="00F3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C2D8"/>
  <w15:chartTrackingRefBased/>
  <w15:docId w15:val="{3CAFA5DF-F0EC-4436-B3F9-6C184F40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44"/>
    <w:pPr>
      <w:ind w:left="720"/>
      <w:contextualSpacing/>
    </w:pPr>
  </w:style>
  <w:style w:type="paragraph" w:styleId="FootnoteText">
    <w:name w:val="footnote text"/>
    <w:basedOn w:val="Normal"/>
    <w:link w:val="FootnoteTextChar"/>
    <w:uiPriority w:val="99"/>
    <w:semiHidden/>
    <w:unhideWhenUsed/>
    <w:rsid w:val="00266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7CE"/>
    <w:rPr>
      <w:sz w:val="20"/>
      <w:szCs w:val="20"/>
    </w:rPr>
  </w:style>
  <w:style w:type="character" w:styleId="FootnoteReference">
    <w:name w:val="footnote reference"/>
    <w:basedOn w:val="DefaultParagraphFont"/>
    <w:uiPriority w:val="99"/>
    <w:semiHidden/>
    <w:unhideWhenUsed/>
    <w:rsid w:val="002667CE"/>
    <w:rPr>
      <w:vertAlign w:val="superscript"/>
    </w:rPr>
  </w:style>
  <w:style w:type="paragraph" w:styleId="Header">
    <w:name w:val="header"/>
    <w:basedOn w:val="Normal"/>
    <w:link w:val="HeaderChar"/>
    <w:uiPriority w:val="99"/>
    <w:unhideWhenUsed/>
    <w:rsid w:val="008D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FA"/>
  </w:style>
  <w:style w:type="paragraph" w:styleId="Footer">
    <w:name w:val="footer"/>
    <w:basedOn w:val="Normal"/>
    <w:link w:val="FooterChar"/>
    <w:uiPriority w:val="99"/>
    <w:unhideWhenUsed/>
    <w:rsid w:val="008D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Anyakora Araka</dc:creator>
  <cp:keywords/>
  <dc:description/>
  <cp:lastModifiedBy>Anyakora Araka</cp:lastModifiedBy>
  <cp:revision>10</cp:revision>
  <dcterms:created xsi:type="dcterms:W3CDTF">2020-05-20T10:26:00Z</dcterms:created>
  <dcterms:modified xsi:type="dcterms:W3CDTF">2020-05-20T12:30:00Z</dcterms:modified>
</cp:coreProperties>
</file>