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B9" w:rsidRDefault="002F27B9">
      <w:pPr>
        <w:rPr>
          <w:rFonts w:ascii="Times New Roman" w:hAnsi="Times New Roman" w:cs="Times New Roman"/>
          <w:sz w:val="24"/>
          <w:szCs w:val="24"/>
        </w:rPr>
      </w:pPr>
      <w:r>
        <w:rPr>
          <w:rFonts w:ascii="Times New Roman" w:hAnsi="Times New Roman" w:cs="Times New Roman"/>
          <w:sz w:val="24"/>
          <w:szCs w:val="24"/>
        </w:rPr>
        <w:t>NAME: AIYEDOGBON FOLAKEMI ESTHER</w:t>
      </w:r>
    </w:p>
    <w:p w:rsidR="00C03E3D" w:rsidRDefault="00C03E3D">
      <w:pPr>
        <w:rPr>
          <w:rFonts w:ascii="Times New Roman" w:hAnsi="Times New Roman" w:cs="Times New Roman"/>
          <w:sz w:val="24"/>
          <w:szCs w:val="24"/>
        </w:rPr>
      </w:pPr>
      <w:r>
        <w:rPr>
          <w:rFonts w:ascii="Times New Roman" w:hAnsi="Times New Roman" w:cs="Times New Roman"/>
          <w:sz w:val="24"/>
          <w:szCs w:val="24"/>
        </w:rPr>
        <w:t>MATRIC. NUMBER.: 17/LAW01/035</w:t>
      </w:r>
    </w:p>
    <w:p w:rsidR="008735E4" w:rsidRDefault="00C03E3D">
      <w:pPr>
        <w:rPr>
          <w:rFonts w:ascii="Times New Roman" w:hAnsi="Times New Roman" w:cs="Times New Roman"/>
          <w:sz w:val="24"/>
          <w:szCs w:val="24"/>
        </w:rPr>
      </w:pPr>
      <w:r>
        <w:rPr>
          <w:rFonts w:ascii="Times New Roman" w:hAnsi="Times New Roman" w:cs="Times New Roman"/>
          <w:sz w:val="24"/>
          <w:szCs w:val="24"/>
        </w:rPr>
        <w:t>The African Commission on Human and People’</w:t>
      </w:r>
      <w:r w:rsidR="004E0D3F">
        <w:rPr>
          <w:rFonts w:ascii="Times New Roman" w:hAnsi="Times New Roman" w:cs="Times New Roman"/>
          <w:sz w:val="24"/>
          <w:szCs w:val="24"/>
        </w:rPr>
        <w:t>s Rights,</w:t>
      </w:r>
      <w:r>
        <w:rPr>
          <w:rFonts w:ascii="Times New Roman" w:hAnsi="Times New Roman" w:cs="Times New Roman"/>
          <w:sz w:val="24"/>
          <w:szCs w:val="24"/>
        </w:rPr>
        <w:t xml:space="preserve"> established by </w:t>
      </w:r>
      <w:r w:rsidRPr="004E0D3F">
        <w:rPr>
          <w:rFonts w:ascii="Times New Roman" w:hAnsi="Times New Roman" w:cs="Times New Roman"/>
          <w:b/>
          <w:i/>
          <w:sz w:val="24"/>
          <w:szCs w:val="24"/>
        </w:rPr>
        <w:t>Article 30 of the African Charter on Human and People’s Rights</w:t>
      </w:r>
      <w:r>
        <w:rPr>
          <w:rFonts w:ascii="Times New Roman" w:hAnsi="Times New Roman" w:cs="Times New Roman"/>
          <w:sz w:val="24"/>
          <w:szCs w:val="24"/>
        </w:rPr>
        <w:t xml:space="preserve"> postulates a three- fold obligation which includes: to respect, ensure and fulfil human rights obligations under the charter. This is asserted in </w:t>
      </w:r>
      <w:r w:rsidRPr="00C03E3D">
        <w:rPr>
          <w:rFonts w:ascii="Times New Roman" w:hAnsi="Times New Roman" w:cs="Times New Roman"/>
          <w:i/>
          <w:sz w:val="24"/>
          <w:szCs w:val="24"/>
        </w:rPr>
        <w:t xml:space="preserve">Article 45 </w:t>
      </w:r>
      <w:r>
        <w:rPr>
          <w:rFonts w:ascii="Times New Roman" w:hAnsi="Times New Roman" w:cs="Times New Roman"/>
          <w:sz w:val="24"/>
          <w:szCs w:val="24"/>
        </w:rPr>
        <w:t xml:space="preserve">of the charter which provides for the mandate of the Commission as including the promotion </w:t>
      </w:r>
      <w:r w:rsidR="001A597A">
        <w:rPr>
          <w:rFonts w:ascii="Times New Roman" w:hAnsi="Times New Roman" w:cs="Times New Roman"/>
          <w:sz w:val="24"/>
          <w:szCs w:val="24"/>
        </w:rPr>
        <w:t xml:space="preserve">and protection </w:t>
      </w:r>
      <w:r>
        <w:rPr>
          <w:rFonts w:ascii="Times New Roman" w:hAnsi="Times New Roman" w:cs="Times New Roman"/>
          <w:sz w:val="24"/>
          <w:szCs w:val="24"/>
        </w:rPr>
        <w:t xml:space="preserve">of human and people’s rights; </w:t>
      </w:r>
      <w:r w:rsidRPr="00C03E3D">
        <w:rPr>
          <w:rFonts w:ascii="Times New Roman" w:hAnsi="Times New Roman" w:cs="Times New Roman"/>
          <w:b/>
          <w:i/>
          <w:sz w:val="24"/>
          <w:szCs w:val="24"/>
        </w:rPr>
        <w:t>Article 45 (1</w:t>
      </w:r>
      <w:r w:rsidR="001A597A">
        <w:rPr>
          <w:rFonts w:ascii="Times New Roman" w:hAnsi="Times New Roman" w:cs="Times New Roman"/>
          <w:b/>
          <w:i/>
          <w:sz w:val="24"/>
          <w:szCs w:val="24"/>
        </w:rPr>
        <w:t xml:space="preserve"> &amp;2</w:t>
      </w:r>
      <w:r w:rsidRPr="00C03E3D">
        <w:rPr>
          <w:rFonts w:ascii="Times New Roman" w:hAnsi="Times New Roman" w:cs="Times New Roman"/>
          <w:b/>
          <w:i/>
          <w:sz w:val="24"/>
          <w:szCs w:val="24"/>
        </w:rPr>
        <w:t>)</w:t>
      </w:r>
      <w:r w:rsidR="001A597A">
        <w:rPr>
          <w:rFonts w:ascii="Times New Roman" w:hAnsi="Times New Roman" w:cs="Times New Roman"/>
          <w:sz w:val="24"/>
          <w:szCs w:val="24"/>
        </w:rPr>
        <w:t xml:space="preserve">. </w:t>
      </w:r>
      <w:bookmarkStart w:id="0" w:name="_GoBack"/>
      <w:bookmarkEnd w:id="0"/>
      <w:r w:rsidR="0085235D">
        <w:rPr>
          <w:rFonts w:ascii="Times New Roman" w:hAnsi="Times New Roman" w:cs="Times New Roman"/>
          <w:sz w:val="24"/>
          <w:szCs w:val="24"/>
        </w:rPr>
        <w:t>Th</w:t>
      </w:r>
      <w:r>
        <w:rPr>
          <w:rFonts w:ascii="Times New Roman" w:hAnsi="Times New Roman" w:cs="Times New Roman"/>
          <w:sz w:val="24"/>
          <w:szCs w:val="24"/>
        </w:rPr>
        <w:t xml:space="preserve">e African </w:t>
      </w:r>
      <w:r w:rsidR="008735E4">
        <w:rPr>
          <w:rFonts w:ascii="Times New Roman" w:hAnsi="Times New Roman" w:cs="Times New Roman"/>
          <w:sz w:val="24"/>
          <w:szCs w:val="24"/>
        </w:rPr>
        <w:t xml:space="preserve">Court of Human and People’s Rights is Established under </w:t>
      </w:r>
      <w:r w:rsidR="008735E4" w:rsidRPr="008735E4">
        <w:rPr>
          <w:rFonts w:ascii="Times New Roman" w:hAnsi="Times New Roman" w:cs="Times New Roman"/>
          <w:b/>
          <w:i/>
          <w:sz w:val="24"/>
          <w:szCs w:val="24"/>
        </w:rPr>
        <w:t>Article 1 of the Protocol to the African Charter on the Establishment of the African Court of Human and People’s Rights</w:t>
      </w:r>
      <w:r w:rsidR="008735E4">
        <w:rPr>
          <w:rFonts w:ascii="Times New Roman" w:hAnsi="Times New Roman" w:cs="Times New Roman"/>
          <w:sz w:val="24"/>
          <w:szCs w:val="24"/>
        </w:rPr>
        <w:t xml:space="preserve">. With the mandate of complementing and reinforcing the protective mandate of the African Commission. </w:t>
      </w:r>
      <w:r w:rsidR="0069259E">
        <w:rPr>
          <w:rFonts w:ascii="Times New Roman" w:hAnsi="Times New Roman" w:cs="Times New Roman"/>
          <w:sz w:val="24"/>
          <w:szCs w:val="24"/>
        </w:rPr>
        <w:t xml:space="preserve">The establishment of the </w:t>
      </w:r>
      <w:r w:rsidR="008735E4">
        <w:rPr>
          <w:rFonts w:ascii="Times New Roman" w:hAnsi="Times New Roman" w:cs="Times New Roman"/>
          <w:sz w:val="24"/>
          <w:szCs w:val="24"/>
        </w:rPr>
        <w:t>Court was a result of one of the major challenges experienced by African Commission.</w:t>
      </w:r>
    </w:p>
    <w:p w:rsidR="00054526" w:rsidRDefault="00054526">
      <w:pPr>
        <w:rPr>
          <w:rFonts w:ascii="Times New Roman" w:hAnsi="Times New Roman" w:cs="Times New Roman"/>
          <w:sz w:val="24"/>
          <w:szCs w:val="24"/>
        </w:rPr>
      </w:pPr>
      <w:r>
        <w:rPr>
          <w:rFonts w:ascii="Times New Roman" w:hAnsi="Times New Roman" w:cs="Times New Roman"/>
          <w:sz w:val="24"/>
          <w:szCs w:val="24"/>
        </w:rPr>
        <w:t>From the foregoing, the regional institutions have a similar mandate which dwells on the promotion and protection of human rights, thus they experience similar challenges with regards the fulfilment of this mandate. Some of these challenges include:</w:t>
      </w:r>
    </w:p>
    <w:p w:rsidR="00054526" w:rsidRPr="00290706" w:rsidRDefault="00605019" w:rsidP="0029070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Recognition of State Parties</w:t>
      </w:r>
      <w:r>
        <w:rPr>
          <w:rFonts w:ascii="Times New Roman" w:hAnsi="Times New Roman" w:cs="Times New Roman"/>
          <w:sz w:val="24"/>
          <w:szCs w:val="24"/>
        </w:rPr>
        <w:t xml:space="preserve">: </w:t>
      </w:r>
      <w:r w:rsidR="00054526">
        <w:rPr>
          <w:rFonts w:ascii="Times New Roman" w:hAnsi="Times New Roman" w:cs="Times New Roman"/>
          <w:sz w:val="24"/>
          <w:szCs w:val="24"/>
        </w:rPr>
        <w:t xml:space="preserve">Another major challenge faced by these African institutions is the issue of admissibility. Generally, only state </w:t>
      </w:r>
      <w:r w:rsidR="0069259E">
        <w:rPr>
          <w:rFonts w:ascii="Times New Roman" w:hAnsi="Times New Roman" w:cs="Times New Roman"/>
          <w:sz w:val="24"/>
          <w:szCs w:val="24"/>
        </w:rPr>
        <w:t xml:space="preserve">parties are recognised by the organisations to bring </w:t>
      </w:r>
      <w:r w:rsidR="00054526">
        <w:rPr>
          <w:rFonts w:ascii="Times New Roman" w:hAnsi="Times New Roman" w:cs="Times New Roman"/>
          <w:sz w:val="24"/>
          <w:szCs w:val="24"/>
        </w:rPr>
        <w:t>communications or complaints</w:t>
      </w:r>
      <w:r w:rsidR="0069259E">
        <w:rPr>
          <w:rFonts w:ascii="Times New Roman" w:hAnsi="Times New Roman" w:cs="Times New Roman"/>
          <w:sz w:val="24"/>
          <w:szCs w:val="24"/>
        </w:rPr>
        <w:t xml:space="preserve">. Therefore, when there is a violation of the right of an individual or any non- state party, there tends to be some form of restriction limiting individuals from filing complaints.  In the instance of the African Commission, </w:t>
      </w:r>
      <w:r w:rsidR="0069259E" w:rsidRPr="0069259E">
        <w:rPr>
          <w:rFonts w:ascii="Times New Roman" w:hAnsi="Times New Roman" w:cs="Times New Roman"/>
          <w:b/>
          <w:i/>
          <w:sz w:val="24"/>
          <w:szCs w:val="24"/>
        </w:rPr>
        <w:t>Article 55 of the African charter on Human and People’s Rights</w:t>
      </w:r>
      <w:r w:rsidR="0069259E">
        <w:rPr>
          <w:rFonts w:ascii="Times New Roman" w:hAnsi="Times New Roman" w:cs="Times New Roman"/>
          <w:sz w:val="24"/>
          <w:szCs w:val="24"/>
        </w:rPr>
        <w:t xml:space="preserve"> provides that the Commission shall consider communications from persons other than state parties </w:t>
      </w:r>
      <w:r w:rsidR="0069259E" w:rsidRPr="0069259E">
        <w:rPr>
          <w:rFonts w:ascii="Times New Roman" w:hAnsi="Times New Roman" w:cs="Times New Roman"/>
          <w:sz w:val="24"/>
          <w:szCs w:val="24"/>
        </w:rPr>
        <w:t>only</w:t>
      </w:r>
      <w:r w:rsidR="00054526" w:rsidRPr="0069259E">
        <w:rPr>
          <w:rFonts w:ascii="Times New Roman" w:hAnsi="Times New Roman" w:cs="Times New Roman"/>
          <w:sz w:val="24"/>
          <w:szCs w:val="24"/>
        </w:rPr>
        <w:t xml:space="preserve"> </w:t>
      </w:r>
      <w:r w:rsidR="0069259E">
        <w:rPr>
          <w:rFonts w:ascii="Times New Roman" w:hAnsi="Times New Roman" w:cs="Times New Roman"/>
          <w:sz w:val="24"/>
          <w:szCs w:val="24"/>
        </w:rPr>
        <w:t>subject to the acceptance of such communications by a simple majority</w:t>
      </w:r>
      <w:r w:rsidR="00290706">
        <w:rPr>
          <w:rFonts w:ascii="Times New Roman" w:hAnsi="Times New Roman" w:cs="Times New Roman"/>
          <w:sz w:val="24"/>
          <w:szCs w:val="24"/>
        </w:rPr>
        <w:t>. This can be limited by b</w:t>
      </w:r>
      <w:r w:rsidR="00290706" w:rsidRPr="00290706">
        <w:rPr>
          <w:rFonts w:ascii="Times New Roman" w:hAnsi="Times New Roman" w:cs="Times New Roman"/>
          <w:sz w:val="24"/>
          <w:szCs w:val="24"/>
        </w:rPr>
        <w:t xml:space="preserve">roadening the scope of the organisations to allow recognition of individual complainants and non-state parties. For instance, the scope has been modified for ECOWAS Court such that individuals can now bring complaints regarding human rights violations. </w:t>
      </w:r>
    </w:p>
    <w:p w:rsidR="00605019" w:rsidRPr="00605019" w:rsidRDefault="00605019" w:rsidP="0005452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Exhaustion of Local Remedies</w:t>
      </w:r>
      <w:r>
        <w:rPr>
          <w:rFonts w:ascii="Times New Roman" w:hAnsi="Times New Roman" w:cs="Times New Roman"/>
          <w:sz w:val="24"/>
          <w:szCs w:val="24"/>
        </w:rPr>
        <w:t>: Again, most of these public international institutions have the exhaustion of local remedies as a requirement for accepting complaints or communi</w:t>
      </w:r>
      <w:r w:rsidR="00787CBC">
        <w:rPr>
          <w:rFonts w:ascii="Times New Roman" w:hAnsi="Times New Roman" w:cs="Times New Roman"/>
          <w:sz w:val="24"/>
          <w:szCs w:val="24"/>
        </w:rPr>
        <w:t>cations. Implicitly, a case can</w:t>
      </w:r>
      <w:r>
        <w:rPr>
          <w:rFonts w:ascii="Times New Roman" w:hAnsi="Times New Roman" w:cs="Times New Roman"/>
          <w:sz w:val="24"/>
          <w:szCs w:val="24"/>
        </w:rPr>
        <w:t>not be brought before the</w:t>
      </w:r>
      <w:r w:rsidR="00787CBC">
        <w:rPr>
          <w:rFonts w:ascii="Times New Roman" w:hAnsi="Times New Roman" w:cs="Times New Roman"/>
          <w:sz w:val="24"/>
          <w:szCs w:val="24"/>
        </w:rPr>
        <w:t>se</w:t>
      </w:r>
      <w:r>
        <w:rPr>
          <w:rFonts w:ascii="Times New Roman" w:hAnsi="Times New Roman" w:cs="Times New Roman"/>
          <w:sz w:val="24"/>
          <w:szCs w:val="24"/>
        </w:rPr>
        <w:t xml:space="preserve"> organisation</w:t>
      </w:r>
      <w:r w:rsidR="00787CBC">
        <w:rPr>
          <w:rFonts w:ascii="Times New Roman" w:hAnsi="Times New Roman" w:cs="Times New Roman"/>
          <w:sz w:val="24"/>
          <w:szCs w:val="24"/>
        </w:rPr>
        <w:t xml:space="preserve">s until the complainant is dissatisfied with the decision of the local courts. For Example, </w:t>
      </w:r>
      <w:r w:rsidR="00787CBC" w:rsidRPr="00787CBC">
        <w:rPr>
          <w:rFonts w:ascii="Times New Roman" w:hAnsi="Times New Roman" w:cs="Times New Roman"/>
          <w:b/>
          <w:i/>
          <w:sz w:val="24"/>
          <w:szCs w:val="24"/>
        </w:rPr>
        <w:t>Article 56 of the ACHPR</w:t>
      </w:r>
      <w:r w:rsidR="00787CBC">
        <w:rPr>
          <w:rFonts w:ascii="Times New Roman" w:hAnsi="Times New Roman" w:cs="Times New Roman"/>
          <w:b/>
          <w:i/>
          <w:sz w:val="24"/>
          <w:szCs w:val="24"/>
        </w:rPr>
        <w:t xml:space="preserve">. </w:t>
      </w:r>
      <w:r w:rsidR="00787CBC">
        <w:rPr>
          <w:rFonts w:ascii="Times New Roman" w:hAnsi="Times New Roman" w:cs="Times New Roman"/>
          <w:sz w:val="24"/>
          <w:szCs w:val="24"/>
        </w:rPr>
        <w:t>The purpose for this rule is to establish some form of hierarchy among local and international courts.</w:t>
      </w:r>
      <w:r w:rsidR="00290706">
        <w:rPr>
          <w:rFonts w:ascii="Times New Roman" w:hAnsi="Times New Roman" w:cs="Times New Roman"/>
          <w:sz w:val="24"/>
          <w:szCs w:val="24"/>
        </w:rPr>
        <w:t xml:space="preserve"> This can be </w:t>
      </w:r>
      <w:r w:rsidR="004E0D3F">
        <w:rPr>
          <w:rFonts w:ascii="Times New Roman" w:hAnsi="Times New Roman" w:cs="Times New Roman"/>
          <w:sz w:val="24"/>
          <w:szCs w:val="24"/>
        </w:rPr>
        <w:t>reviewed</w:t>
      </w:r>
      <w:r w:rsidR="00290706">
        <w:rPr>
          <w:rFonts w:ascii="Times New Roman" w:hAnsi="Times New Roman" w:cs="Times New Roman"/>
          <w:sz w:val="24"/>
          <w:szCs w:val="24"/>
        </w:rPr>
        <w:t xml:space="preserve"> by </w:t>
      </w:r>
      <w:r w:rsidR="004E0D3F">
        <w:rPr>
          <w:rFonts w:ascii="Times New Roman" w:hAnsi="Times New Roman" w:cs="Times New Roman"/>
          <w:sz w:val="24"/>
          <w:szCs w:val="24"/>
        </w:rPr>
        <w:t>looking into</w:t>
      </w:r>
      <w:r w:rsidR="00290706">
        <w:rPr>
          <w:rFonts w:ascii="Times New Roman" w:hAnsi="Times New Roman" w:cs="Times New Roman"/>
          <w:sz w:val="24"/>
          <w:szCs w:val="24"/>
        </w:rPr>
        <w:t xml:space="preserve"> the procedural requirement of the institutions.</w:t>
      </w:r>
    </w:p>
    <w:p w:rsidR="00605019" w:rsidRPr="00DE3FAE" w:rsidRDefault="00605019" w:rsidP="00DE3FA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Lack of Independence</w:t>
      </w:r>
      <w:r w:rsidR="00DE3FAE">
        <w:rPr>
          <w:rFonts w:ascii="Times New Roman" w:hAnsi="Times New Roman" w:cs="Times New Roman"/>
          <w:b/>
          <w:sz w:val="24"/>
          <w:szCs w:val="24"/>
        </w:rPr>
        <w:t xml:space="preserve"> and </w:t>
      </w:r>
      <w:r w:rsidR="00DE3FAE" w:rsidRPr="00DE3FAE">
        <w:rPr>
          <w:rFonts w:ascii="Times New Roman" w:hAnsi="Times New Roman" w:cs="Times New Roman"/>
          <w:b/>
          <w:sz w:val="24"/>
          <w:szCs w:val="24"/>
        </w:rPr>
        <w:t>Limitation of Powers</w:t>
      </w:r>
      <w:r w:rsidR="00DE3FAE">
        <w:rPr>
          <w:rFonts w:ascii="Times New Roman" w:hAnsi="Times New Roman" w:cs="Times New Roman"/>
          <w:sz w:val="24"/>
          <w:szCs w:val="24"/>
        </w:rPr>
        <w:t xml:space="preserve">: These organisations including the African commission on Human and People’s Rights are practically creations of their member states. Therefore, their powers are limited by the </w:t>
      </w:r>
      <w:r w:rsidR="00DE3FAE">
        <w:rPr>
          <w:rFonts w:ascii="Times New Roman" w:hAnsi="Times New Roman" w:cs="Times New Roman"/>
          <w:sz w:val="24"/>
          <w:szCs w:val="24"/>
        </w:rPr>
        <w:t>laws guiding them. This, i</w:t>
      </w:r>
      <w:r w:rsidR="00787CBC" w:rsidRPr="00DE3FAE">
        <w:rPr>
          <w:rFonts w:ascii="Times New Roman" w:hAnsi="Times New Roman" w:cs="Times New Roman"/>
          <w:sz w:val="24"/>
          <w:szCs w:val="24"/>
        </w:rPr>
        <w:t xml:space="preserve">t is evident that most of these organisations are dependent on the functions of some authority. For example, </w:t>
      </w:r>
      <w:r w:rsidR="00787CBC" w:rsidRPr="00DE3FAE">
        <w:rPr>
          <w:rFonts w:ascii="Times New Roman" w:hAnsi="Times New Roman" w:cs="Times New Roman"/>
          <w:b/>
          <w:i/>
          <w:sz w:val="24"/>
          <w:szCs w:val="24"/>
        </w:rPr>
        <w:t>Article 58 (1)</w:t>
      </w:r>
      <w:r w:rsidR="00787CBC" w:rsidRPr="00DE3FAE">
        <w:rPr>
          <w:rFonts w:ascii="Times New Roman" w:hAnsi="Times New Roman" w:cs="Times New Roman"/>
          <w:sz w:val="24"/>
          <w:szCs w:val="24"/>
        </w:rPr>
        <w:t xml:space="preserve"> of the ACHPR requires the Commission to </w:t>
      </w:r>
      <w:r w:rsidR="00DE3FAE" w:rsidRPr="00DE3FAE">
        <w:rPr>
          <w:rFonts w:ascii="Times New Roman" w:hAnsi="Times New Roman" w:cs="Times New Roman"/>
          <w:sz w:val="24"/>
          <w:szCs w:val="24"/>
        </w:rPr>
        <w:t xml:space="preserve">draw the attention of the Assembly of heads of State and Government to cases involving massive violation of human and people’s rights. Furthermore, </w:t>
      </w:r>
      <w:r w:rsidR="00DE3FAE" w:rsidRPr="00DE3FAE">
        <w:rPr>
          <w:rFonts w:ascii="Times New Roman" w:hAnsi="Times New Roman" w:cs="Times New Roman"/>
          <w:b/>
          <w:i/>
          <w:sz w:val="24"/>
          <w:szCs w:val="24"/>
        </w:rPr>
        <w:t>Article 77 of the ECOWAS Revised Treaty</w:t>
      </w:r>
      <w:r w:rsidR="00DE3FAE" w:rsidRPr="00DE3FAE">
        <w:rPr>
          <w:rFonts w:ascii="Times New Roman" w:hAnsi="Times New Roman" w:cs="Times New Roman"/>
          <w:sz w:val="24"/>
          <w:szCs w:val="24"/>
        </w:rPr>
        <w:t xml:space="preserve"> gives power to the Authority of heads of States and </w:t>
      </w:r>
      <w:r w:rsidR="004E0D3F">
        <w:rPr>
          <w:rFonts w:ascii="Times New Roman" w:hAnsi="Times New Roman" w:cs="Times New Roman"/>
          <w:sz w:val="24"/>
          <w:szCs w:val="24"/>
        </w:rPr>
        <w:t>g</w:t>
      </w:r>
      <w:r w:rsidR="00DE3FAE" w:rsidRPr="00DE3FAE">
        <w:rPr>
          <w:rFonts w:ascii="Times New Roman" w:hAnsi="Times New Roman" w:cs="Times New Roman"/>
          <w:sz w:val="24"/>
          <w:szCs w:val="24"/>
        </w:rPr>
        <w:t>overnment to impose sanctions on defaulters.</w:t>
      </w:r>
    </w:p>
    <w:p w:rsidR="00DE3FAE" w:rsidRDefault="00605019" w:rsidP="00DE3F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Jurisdiction</w:t>
      </w:r>
      <w:r w:rsidR="00DE3FAE">
        <w:rPr>
          <w:rFonts w:ascii="Times New Roman" w:hAnsi="Times New Roman" w:cs="Times New Roman"/>
          <w:sz w:val="24"/>
          <w:szCs w:val="24"/>
        </w:rPr>
        <w:t>:</w:t>
      </w:r>
      <w:r w:rsidR="00DE3FAE">
        <w:rPr>
          <w:rFonts w:ascii="Times New Roman" w:hAnsi="Times New Roman" w:cs="Times New Roman"/>
          <w:sz w:val="24"/>
          <w:szCs w:val="24"/>
        </w:rPr>
        <w:t xml:space="preserve"> </w:t>
      </w:r>
      <w:r w:rsidR="009A1616">
        <w:rPr>
          <w:rFonts w:ascii="Times New Roman" w:hAnsi="Times New Roman" w:cs="Times New Roman"/>
          <w:sz w:val="24"/>
          <w:szCs w:val="24"/>
        </w:rPr>
        <w:t>As a principle of international law, every state is sovereign and answerable to no one outside it, therefore, depending on the system practiced in a state, international laws would only have persuasive authority, unless otherwise adopted by a state. Consequently, the</w:t>
      </w:r>
      <w:r w:rsidR="002F6B82">
        <w:rPr>
          <w:rFonts w:ascii="Times New Roman" w:hAnsi="Times New Roman" w:cs="Times New Roman"/>
          <w:sz w:val="24"/>
          <w:szCs w:val="24"/>
        </w:rPr>
        <w:t xml:space="preserve"> low rate of ra</w:t>
      </w:r>
      <w:r w:rsidR="004C1B63">
        <w:rPr>
          <w:rFonts w:ascii="Times New Roman" w:hAnsi="Times New Roman" w:cs="Times New Roman"/>
          <w:sz w:val="24"/>
          <w:szCs w:val="24"/>
        </w:rPr>
        <w:t>tification of the constitutive elements of some of these organisations</w:t>
      </w:r>
      <w:r w:rsidR="009A1616">
        <w:rPr>
          <w:rFonts w:ascii="Times New Roman" w:hAnsi="Times New Roman" w:cs="Times New Roman"/>
          <w:sz w:val="24"/>
          <w:szCs w:val="24"/>
        </w:rPr>
        <w:t xml:space="preserve"> has become a prominent </w:t>
      </w:r>
      <w:r w:rsidR="004C1B63">
        <w:rPr>
          <w:rFonts w:ascii="Times New Roman" w:hAnsi="Times New Roman" w:cs="Times New Roman"/>
          <w:sz w:val="24"/>
          <w:szCs w:val="24"/>
        </w:rPr>
        <w:t>issue</w:t>
      </w:r>
      <w:r w:rsidR="009A1616">
        <w:rPr>
          <w:rFonts w:ascii="Times New Roman" w:hAnsi="Times New Roman" w:cs="Times New Roman"/>
          <w:sz w:val="24"/>
          <w:szCs w:val="24"/>
        </w:rPr>
        <w:t xml:space="preserve"> among public international institutions.</w:t>
      </w:r>
      <w:r w:rsidR="00290706">
        <w:rPr>
          <w:rFonts w:ascii="Times New Roman" w:hAnsi="Times New Roman" w:cs="Times New Roman"/>
          <w:sz w:val="24"/>
          <w:szCs w:val="24"/>
        </w:rPr>
        <w:t xml:space="preserve"> This can be checked by reviewing the ratification requirement of these organisations.</w:t>
      </w:r>
    </w:p>
    <w:p w:rsidR="007C4E9F" w:rsidRPr="004E0D3F" w:rsidRDefault="009A1616" w:rsidP="004E0D3F">
      <w:pPr>
        <w:pStyle w:val="ListParagraph"/>
        <w:numPr>
          <w:ilvl w:val="0"/>
          <w:numId w:val="1"/>
        </w:numPr>
        <w:rPr>
          <w:rFonts w:ascii="Times New Roman" w:hAnsi="Times New Roman" w:cs="Times New Roman"/>
          <w:sz w:val="24"/>
          <w:szCs w:val="24"/>
        </w:rPr>
      </w:pPr>
      <w:r w:rsidRPr="007C4E9F">
        <w:rPr>
          <w:rFonts w:ascii="Times New Roman" w:hAnsi="Times New Roman" w:cs="Times New Roman"/>
          <w:sz w:val="24"/>
          <w:szCs w:val="24"/>
        </w:rPr>
        <w:t>Enforcement</w:t>
      </w:r>
      <w:r w:rsidR="004C1B63" w:rsidRPr="007C4E9F">
        <w:rPr>
          <w:rFonts w:ascii="Times New Roman" w:hAnsi="Times New Roman" w:cs="Times New Roman"/>
          <w:sz w:val="24"/>
          <w:szCs w:val="24"/>
        </w:rPr>
        <w:t xml:space="preserve">: Similarly, one major limitation experienced by most international human rights institutions is the operation of local judicial sovereignty to ensure that organisational laws are recognised as binding locally and enforced accordingly. </w:t>
      </w:r>
      <w:r w:rsidR="007C4E9F" w:rsidRPr="007C4E9F">
        <w:rPr>
          <w:rFonts w:ascii="Times New Roman" w:hAnsi="Times New Roman" w:cs="Times New Roman"/>
          <w:sz w:val="24"/>
          <w:szCs w:val="24"/>
        </w:rPr>
        <w:t>The African Court for example is obligated to monitor the execution of it</w:t>
      </w:r>
      <w:r w:rsidR="007C4E9F">
        <w:rPr>
          <w:rFonts w:ascii="Times New Roman" w:hAnsi="Times New Roman" w:cs="Times New Roman"/>
          <w:sz w:val="24"/>
          <w:szCs w:val="24"/>
        </w:rPr>
        <w:t>s decisions but has no enforce</w:t>
      </w:r>
      <w:r w:rsidR="007C4E9F" w:rsidRPr="007C4E9F">
        <w:rPr>
          <w:rFonts w:ascii="Times New Roman" w:hAnsi="Times New Roman" w:cs="Times New Roman"/>
          <w:sz w:val="24"/>
          <w:szCs w:val="24"/>
        </w:rPr>
        <w:t>m</w:t>
      </w:r>
      <w:r w:rsidR="007C4E9F">
        <w:rPr>
          <w:rFonts w:ascii="Times New Roman" w:hAnsi="Times New Roman" w:cs="Times New Roman"/>
          <w:sz w:val="24"/>
          <w:szCs w:val="24"/>
        </w:rPr>
        <w:t>e</w:t>
      </w:r>
      <w:r w:rsidR="007C4E9F" w:rsidRPr="007C4E9F">
        <w:rPr>
          <w:rFonts w:ascii="Times New Roman" w:hAnsi="Times New Roman" w:cs="Times New Roman"/>
          <w:sz w:val="24"/>
          <w:szCs w:val="24"/>
        </w:rPr>
        <w:t>nt power.</w:t>
      </w:r>
      <w:r w:rsidR="004E0D3F">
        <w:rPr>
          <w:rFonts w:ascii="Times New Roman" w:hAnsi="Times New Roman" w:cs="Times New Roman"/>
          <w:sz w:val="24"/>
          <w:szCs w:val="24"/>
        </w:rPr>
        <w:t xml:space="preserve"> This can be checked through the c</w:t>
      </w:r>
      <w:r w:rsidR="004E0D3F" w:rsidRPr="004E0D3F">
        <w:rPr>
          <w:rFonts w:ascii="Times New Roman" w:hAnsi="Times New Roman" w:cs="Times New Roman"/>
          <w:sz w:val="24"/>
          <w:szCs w:val="24"/>
        </w:rPr>
        <w:t>reation of sub-committees to help ensure the enforcement of decisions.</w:t>
      </w:r>
    </w:p>
    <w:p w:rsidR="00605019" w:rsidRDefault="00DE3FAE" w:rsidP="00D4407A">
      <w:pPr>
        <w:pStyle w:val="ListParagraph"/>
        <w:numPr>
          <w:ilvl w:val="0"/>
          <w:numId w:val="1"/>
        </w:numPr>
        <w:rPr>
          <w:rFonts w:ascii="Times New Roman" w:hAnsi="Times New Roman" w:cs="Times New Roman"/>
          <w:sz w:val="24"/>
          <w:szCs w:val="24"/>
        </w:rPr>
      </w:pPr>
      <w:r w:rsidRPr="007C4E9F">
        <w:rPr>
          <w:rFonts w:ascii="Times New Roman" w:hAnsi="Times New Roman" w:cs="Times New Roman"/>
          <w:sz w:val="24"/>
          <w:szCs w:val="24"/>
        </w:rPr>
        <w:t>Lack of Awareness:</w:t>
      </w:r>
      <w:r w:rsidR="009A1616" w:rsidRPr="007C4E9F">
        <w:rPr>
          <w:rFonts w:ascii="Times New Roman" w:hAnsi="Times New Roman" w:cs="Times New Roman"/>
          <w:sz w:val="24"/>
          <w:szCs w:val="24"/>
        </w:rPr>
        <w:t xml:space="preserve"> Another major problem that is similar to most of these organisation is one of awareness. In order to effectively fulfil their human rights mandate, there is great need for citizens of member states and other potential beneficiaries to be informed about the establishment and procedures </w:t>
      </w:r>
      <w:r w:rsidR="009A1616" w:rsidRPr="007C4E9F">
        <w:rPr>
          <w:rFonts w:ascii="Times New Roman" w:hAnsi="Times New Roman" w:cs="Times New Roman"/>
          <w:sz w:val="24"/>
          <w:szCs w:val="24"/>
        </w:rPr>
        <w:t>of these organisation</w:t>
      </w:r>
      <w:r w:rsidR="009A1616" w:rsidRPr="007C4E9F">
        <w:rPr>
          <w:rFonts w:ascii="Times New Roman" w:hAnsi="Times New Roman" w:cs="Times New Roman"/>
          <w:sz w:val="24"/>
          <w:szCs w:val="24"/>
        </w:rPr>
        <w:t>s.</w:t>
      </w:r>
      <w:r w:rsidR="00290706">
        <w:rPr>
          <w:rFonts w:ascii="Times New Roman" w:hAnsi="Times New Roman" w:cs="Times New Roman"/>
          <w:sz w:val="24"/>
          <w:szCs w:val="24"/>
        </w:rPr>
        <w:t xml:space="preserve"> This can be improved by creating awareness programmes. </w:t>
      </w:r>
    </w:p>
    <w:p w:rsidR="002F6B82" w:rsidRDefault="00290706" w:rsidP="00290706">
      <w:pPr>
        <w:rPr>
          <w:rFonts w:ascii="Times New Roman" w:hAnsi="Times New Roman" w:cs="Times New Roman"/>
          <w:sz w:val="24"/>
          <w:szCs w:val="24"/>
        </w:rPr>
      </w:pPr>
      <w:r>
        <w:rPr>
          <w:rFonts w:ascii="Times New Roman" w:hAnsi="Times New Roman" w:cs="Times New Roman"/>
          <w:sz w:val="24"/>
          <w:szCs w:val="24"/>
        </w:rPr>
        <w:t xml:space="preserve">The </w:t>
      </w:r>
      <w:r w:rsidR="007C4E9F">
        <w:rPr>
          <w:rFonts w:ascii="Times New Roman" w:hAnsi="Times New Roman" w:cs="Times New Roman"/>
          <w:sz w:val="24"/>
          <w:szCs w:val="24"/>
        </w:rPr>
        <w:t>establishment of these organisations is seemingly a step in the right direction for the protection and promotion of human rights in Africa, the overall goal which is</w:t>
      </w:r>
      <w:r w:rsidR="002F6B82">
        <w:rPr>
          <w:rFonts w:ascii="Times New Roman" w:hAnsi="Times New Roman" w:cs="Times New Roman"/>
          <w:sz w:val="24"/>
          <w:szCs w:val="24"/>
        </w:rPr>
        <w:t xml:space="preserve"> to generally have institutions which are independent of political pressure, immune to corruption and responsive to the needs of the African populace still seems a stone’s throw away. </w:t>
      </w:r>
      <w:r>
        <w:rPr>
          <w:rFonts w:ascii="Times New Roman" w:hAnsi="Times New Roman" w:cs="Times New Roman"/>
          <w:sz w:val="24"/>
          <w:szCs w:val="24"/>
        </w:rPr>
        <w:t xml:space="preserve">However, </w:t>
      </w:r>
      <w:r w:rsidR="002F6B82">
        <w:rPr>
          <w:rFonts w:ascii="Times New Roman" w:hAnsi="Times New Roman" w:cs="Times New Roman"/>
          <w:sz w:val="24"/>
          <w:szCs w:val="24"/>
        </w:rPr>
        <w:t xml:space="preserve">these limitations can be overcome by putting the </w:t>
      </w:r>
      <w:r>
        <w:rPr>
          <w:rFonts w:ascii="Times New Roman" w:hAnsi="Times New Roman" w:cs="Times New Roman"/>
          <w:sz w:val="24"/>
          <w:szCs w:val="24"/>
        </w:rPr>
        <w:t>foregoing suggestions into consideration.</w:t>
      </w:r>
    </w:p>
    <w:p w:rsidR="004E0D3F" w:rsidRPr="00290706" w:rsidRDefault="004E0D3F" w:rsidP="00290706">
      <w:pPr>
        <w:rPr>
          <w:rFonts w:ascii="Times New Roman" w:hAnsi="Times New Roman" w:cs="Times New Roman"/>
          <w:sz w:val="24"/>
          <w:szCs w:val="24"/>
        </w:rPr>
      </w:pPr>
    </w:p>
    <w:sectPr w:rsidR="004E0D3F" w:rsidRPr="00290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7D4"/>
    <w:multiLevelType w:val="hybridMultilevel"/>
    <w:tmpl w:val="B0427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92732"/>
    <w:multiLevelType w:val="hybridMultilevel"/>
    <w:tmpl w:val="EC840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B9"/>
    <w:rsid w:val="000206F4"/>
    <w:rsid w:val="00054526"/>
    <w:rsid w:val="00064DC4"/>
    <w:rsid w:val="001A597A"/>
    <w:rsid w:val="00290706"/>
    <w:rsid w:val="002F27B9"/>
    <w:rsid w:val="002F6B82"/>
    <w:rsid w:val="004C1B63"/>
    <w:rsid w:val="004E0D3F"/>
    <w:rsid w:val="00605019"/>
    <w:rsid w:val="0069259E"/>
    <w:rsid w:val="00787CBC"/>
    <w:rsid w:val="007C4E9F"/>
    <w:rsid w:val="0085235D"/>
    <w:rsid w:val="008735E4"/>
    <w:rsid w:val="009A1616"/>
    <w:rsid w:val="00C03E3D"/>
    <w:rsid w:val="00DE3FAE"/>
    <w:rsid w:val="00F51096"/>
    <w:rsid w:val="00FD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F5B3"/>
  <w15:chartTrackingRefBased/>
  <w15:docId w15:val="{B851C51C-6B22-453F-AB36-3B8CFED4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Aiyedogbon</dc:creator>
  <cp:keywords/>
  <dc:description/>
  <cp:lastModifiedBy>Faith Aiyedogbon</cp:lastModifiedBy>
  <cp:revision>2</cp:revision>
  <dcterms:created xsi:type="dcterms:W3CDTF">2020-05-20T13:20:00Z</dcterms:created>
  <dcterms:modified xsi:type="dcterms:W3CDTF">2020-05-20T13:20:00Z</dcterms:modified>
</cp:coreProperties>
</file>