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26D40" w14:textId="58706C5B" w:rsidR="00F427A9" w:rsidRPr="0020689A" w:rsidRDefault="00F427A9" w:rsidP="00C6285E">
      <w:pPr>
        <w:jc w:val="both"/>
        <w:rPr>
          <w:rFonts w:ascii="Times New Roman" w:hAnsi="Times New Roman" w:cs="Times New Roman"/>
          <w:b/>
          <w:bCs/>
          <w:sz w:val="24"/>
          <w:szCs w:val="24"/>
        </w:rPr>
      </w:pPr>
      <w:r w:rsidRPr="0020689A">
        <w:rPr>
          <w:rFonts w:ascii="Times New Roman" w:hAnsi="Times New Roman" w:cs="Times New Roman"/>
          <w:b/>
          <w:bCs/>
          <w:sz w:val="24"/>
          <w:szCs w:val="24"/>
        </w:rPr>
        <w:t>BIAMBO ALAWARI EMMANUELLA</w:t>
      </w:r>
    </w:p>
    <w:p w14:paraId="63FBB3D9" w14:textId="31D77D66" w:rsidR="0034537B" w:rsidRPr="0020689A" w:rsidRDefault="00485949" w:rsidP="00C6285E">
      <w:pPr>
        <w:jc w:val="both"/>
        <w:rPr>
          <w:rFonts w:ascii="Times New Roman" w:hAnsi="Times New Roman" w:cs="Times New Roman"/>
          <w:b/>
          <w:bCs/>
          <w:sz w:val="24"/>
          <w:szCs w:val="24"/>
        </w:rPr>
      </w:pPr>
      <w:r w:rsidRPr="0020689A">
        <w:rPr>
          <w:rFonts w:ascii="Times New Roman" w:hAnsi="Times New Roman" w:cs="Times New Roman"/>
          <w:b/>
          <w:bCs/>
          <w:sz w:val="24"/>
          <w:szCs w:val="24"/>
        </w:rPr>
        <w:t>17/LAW01/080</w:t>
      </w:r>
    </w:p>
    <w:p w14:paraId="0232C404" w14:textId="08907FF9" w:rsidR="00485949" w:rsidRPr="0020689A" w:rsidRDefault="00485949" w:rsidP="00C6285E">
      <w:pPr>
        <w:jc w:val="both"/>
        <w:rPr>
          <w:rFonts w:ascii="Times New Roman" w:hAnsi="Times New Roman" w:cs="Times New Roman"/>
          <w:b/>
          <w:bCs/>
          <w:sz w:val="24"/>
          <w:szCs w:val="24"/>
        </w:rPr>
      </w:pPr>
      <w:r w:rsidRPr="0020689A">
        <w:rPr>
          <w:rFonts w:ascii="Times New Roman" w:hAnsi="Times New Roman" w:cs="Times New Roman"/>
          <w:b/>
          <w:bCs/>
          <w:sz w:val="24"/>
          <w:szCs w:val="24"/>
        </w:rPr>
        <w:t xml:space="preserve">HUMAN RIGHTS LAW </w:t>
      </w:r>
      <w:r w:rsidR="009E1BAE" w:rsidRPr="0020689A">
        <w:rPr>
          <w:rFonts w:ascii="Times New Roman" w:hAnsi="Times New Roman" w:cs="Times New Roman"/>
          <w:b/>
          <w:bCs/>
          <w:sz w:val="24"/>
          <w:szCs w:val="24"/>
        </w:rPr>
        <w:t xml:space="preserve">II </w:t>
      </w:r>
      <w:r w:rsidR="00445C0E" w:rsidRPr="0020689A">
        <w:rPr>
          <w:rFonts w:ascii="Times New Roman" w:hAnsi="Times New Roman" w:cs="Times New Roman"/>
          <w:b/>
          <w:bCs/>
          <w:sz w:val="24"/>
          <w:szCs w:val="24"/>
        </w:rPr>
        <w:t>(</w:t>
      </w:r>
      <w:r w:rsidRPr="0020689A">
        <w:rPr>
          <w:rFonts w:ascii="Times New Roman" w:hAnsi="Times New Roman" w:cs="Times New Roman"/>
          <w:b/>
          <w:bCs/>
          <w:sz w:val="24"/>
          <w:szCs w:val="24"/>
        </w:rPr>
        <w:t>LPI 306</w:t>
      </w:r>
      <w:r w:rsidR="00445C0E" w:rsidRPr="0020689A">
        <w:rPr>
          <w:rFonts w:ascii="Times New Roman" w:hAnsi="Times New Roman" w:cs="Times New Roman"/>
          <w:b/>
          <w:bCs/>
          <w:sz w:val="24"/>
          <w:szCs w:val="24"/>
        </w:rPr>
        <w:t>)</w:t>
      </w:r>
    </w:p>
    <w:p w14:paraId="3DBE16E4" w14:textId="38E673F6" w:rsidR="00485949" w:rsidRDefault="00485949" w:rsidP="00C6285E">
      <w:pPr>
        <w:jc w:val="both"/>
        <w:rPr>
          <w:rFonts w:ascii="Times New Roman" w:hAnsi="Times New Roman" w:cs="Times New Roman"/>
          <w:sz w:val="24"/>
          <w:szCs w:val="24"/>
        </w:rPr>
      </w:pPr>
      <w:r w:rsidRPr="00AD1D5F">
        <w:rPr>
          <w:rFonts w:ascii="Times New Roman" w:hAnsi="Times New Roman" w:cs="Times New Roman"/>
          <w:sz w:val="24"/>
          <w:szCs w:val="24"/>
        </w:rPr>
        <w:t xml:space="preserve">Individuals, groups and nations claim a variety of rights </w:t>
      </w:r>
      <w:r w:rsidR="00243FDA" w:rsidRPr="00AD1D5F">
        <w:rPr>
          <w:rFonts w:ascii="Times New Roman" w:hAnsi="Times New Roman" w:cs="Times New Roman"/>
          <w:sz w:val="24"/>
          <w:szCs w:val="24"/>
        </w:rPr>
        <w:t>and these rights have at one time or the other been asserted, denied, exercised,</w:t>
      </w:r>
      <w:r w:rsidR="003367F6">
        <w:rPr>
          <w:rFonts w:ascii="Times New Roman" w:hAnsi="Times New Roman" w:cs="Times New Roman"/>
          <w:sz w:val="24"/>
          <w:szCs w:val="24"/>
        </w:rPr>
        <w:t xml:space="preserve"> waived,</w:t>
      </w:r>
      <w:r w:rsidR="00243FDA" w:rsidRPr="00AD1D5F">
        <w:rPr>
          <w:rFonts w:ascii="Times New Roman" w:hAnsi="Times New Roman" w:cs="Times New Roman"/>
          <w:sz w:val="24"/>
          <w:szCs w:val="24"/>
        </w:rPr>
        <w:t xml:space="preserve"> violated and above all discussed interpreted and disputed in local and international communities and forums.</w:t>
      </w:r>
    </w:p>
    <w:p w14:paraId="1C0BA577" w14:textId="57BE768C" w:rsidR="005853A8" w:rsidRDefault="005853A8" w:rsidP="00C6285E">
      <w:pPr>
        <w:jc w:val="both"/>
        <w:rPr>
          <w:rFonts w:ascii="Times New Roman" w:hAnsi="Times New Roman" w:cs="Times New Roman"/>
          <w:sz w:val="24"/>
          <w:szCs w:val="24"/>
        </w:rPr>
      </w:pPr>
      <w:r>
        <w:rPr>
          <w:rFonts w:ascii="Times New Roman" w:hAnsi="Times New Roman" w:cs="Times New Roman"/>
          <w:sz w:val="24"/>
          <w:szCs w:val="24"/>
        </w:rPr>
        <w:t xml:space="preserve">    Public institutions have arisen to ensure that rights ranging from individual rights to group and societal rights are protected and promoted</w:t>
      </w:r>
      <w:r w:rsidR="001313BA">
        <w:rPr>
          <w:rFonts w:ascii="Times New Roman" w:hAnsi="Times New Roman" w:cs="Times New Roman"/>
          <w:sz w:val="24"/>
          <w:szCs w:val="24"/>
        </w:rPr>
        <w:t xml:space="preserve"> as they are prone to violation</w:t>
      </w:r>
      <w:r>
        <w:rPr>
          <w:rFonts w:ascii="Times New Roman" w:hAnsi="Times New Roman" w:cs="Times New Roman"/>
          <w:sz w:val="24"/>
          <w:szCs w:val="24"/>
        </w:rPr>
        <w:t>. They include;</w:t>
      </w:r>
    </w:p>
    <w:p w14:paraId="23603B03" w14:textId="4B68CA4C" w:rsidR="005853A8" w:rsidRDefault="005853A8" w:rsidP="00C6285E">
      <w:pPr>
        <w:pStyle w:val="ListParagraph"/>
        <w:numPr>
          <w:ilvl w:val="0"/>
          <w:numId w:val="1"/>
        </w:numPr>
        <w:jc w:val="both"/>
        <w:rPr>
          <w:rFonts w:ascii="Times New Roman" w:hAnsi="Times New Roman" w:cs="Times New Roman"/>
          <w:sz w:val="24"/>
          <w:szCs w:val="24"/>
        </w:rPr>
      </w:pPr>
      <w:r w:rsidRPr="003452FC">
        <w:rPr>
          <w:rFonts w:ascii="Times New Roman" w:hAnsi="Times New Roman" w:cs="Times New Roman"/>
          <w:sz w:val="24"/>
          <w:szCs w:val="24"/>
          <w:u w:val="single"/>
        </w:rPr>
        <w:t>The African Commission on Human and Peoples Rights</w:t>
      </w:r>
      <w:r>
        <w:rPr>
          <w:rFonts w:ascii="Times New Roman" w:hAnsi="Times New Roman" w:cs="Times New Roman"/>
          <w:sz w:val="24"/>
          <w:szCs w:val="24"/>
        </w:rPr>
        <w:t>:</w:t>
      </w:r>
      <w:r w:rsidR="003367F6">
        <w:rPr>
          <w:rFonts w:ascii="Times New Roman" w:hAnsi="Times New Roman" w:cs="Times New Roman"/>
          <w:sz w:val="24"/>
          <w:szCs w:val="24"/>
        </w:rPr>
        <w:t xml:space="preserve"> The Commissions mandate are found in </w:t>
      </w:r>
      <w:r w:rsidR="003367F6" w:rsidRPr="00445C0E">
        <w:rPr>
          <w:rFonts w:ascii="Times New Roman" w:hAnsi="Times New Roman" w:cs="Times New Roman"/>
          <w:i/>
          <w:iCs/>
          <w:sz w:val="24"/>
          <w:szCs w:val="24"/>
        </w:rPr>
        <w:t>Article 45</w:t>
      </w:r>
      <w:r w:rsidR="003367F6">
        <w:rPr>
          <w:rFonts w:ascii="Times New Roman" w:hAnsi="Times New Roman" w:cs="Times New Roman"/>
          <w:sz w:val="24"/>
          <w:szCs w:val="24"/>
        </w:rPr>
        <w:t xml:space="preserve"> of the Charter. Its functions</w:t>
      </w:r>
      <w:r w:rsidR="00BB5A2B">
        <w:rPr>
          <w:rFonts w:ascii="Times New Roman" w:hAnsi="Times New Roman" w:cs="Times New Roman"/>
          <w:sz w:val="24"/>
          <w:szCs w:val="24"/>
        </w:rPr>
        <w:t xml:space="preserve"> inter alia</w:t>
      </w:r>
      <w:r w:rsidR="003367F6">
        <w:rPr>
          <w:rFonts w:ascii="Times New Roman" w:hAnsi="Times New Roman" w:cs="Times New Roman"/>
          <w:sz w:val="24"/>
          <w:szCs w:val="24"/>
        </w:rPr>
        <w:t xml:space="preserve"> include </w:t>
      </w:r>
      <w:r w:rsidR="00BB5A2B">
        <w:rPr>
          <w:rFonts w:ascii="Times New Roman" w:hAnsi="Times New Roman" w:cs="Times New Roman"/>
          <w:sz w:val="24"/>
          <w:szCs w:val="24"/>
        </w:rPr>
        <w:t>ensur</w:t>
      </w:r>
      <w:r w:rsidR="006C6D9B">
        <w:rPr>
          <w:rFonts w:ascii="Times New Roman" w:hAnsi="Times New Roman" w:cs="Times New Roman"/>
          <w:sz w:val="24"/>
          <w:szCs w:val="24"/>
        </w:rPr>
        <w:t>ing</w:t>
      </w:r>
      <w:r w:rsidR="00BB5A2B">
        <w:rPr>
          <w:rFonts w:ascii="Times New Roman" w:hAnsi="Times New Roman" w:cs="Times New Roman"/>
          <w:sz w:val="24"/>
          <w:szCs w:val="24"/>
        </w:rPr>
        <w:t xml:space="preserve"> the protection of human rights under the Charter and this is why the Commission interpreted </w:t>
      </w:r>
      <w:r w:rsidR="00BB5A2B" w:rsidRPr="008A75A6">
        <w:rPr>
          <w:rFonts w:ascii="Times New Roman" w:hAnsi="Times New Roman" w:cs="Times New Roman"/>
          <w:i/>
          <w:iCs/>
          <w:sz w:val="24"/>
          <w:szCs w:val="24"/>
        </w:rPr>
        <w:t xml:space="preserve">Article 1 </w:t>
      </w:r>
      <w:r w:rsidR="00BB5A2B">
        <w:rPr>
          <w:rFonts w:ascii="Times New Roman" w:hAnsi="Times New Roman" w:cs="Times New Roman"/>
          <w:sz w:val="24"/>
          <w:szCs w:val="24"/>
        </w:rPr>
        <w:t>of the Charter as having a 3-fold obligation which is to respect, ensure and fulfill human rights obligations contained in the Charter</w:t>
      </w:r>
      <w:r w:rsidR="00445C0E">
        <w:rPr>
          <w:rFonts w:ascii="Times New Roman" w:hAnsi="Times New Roman" w:cs="Times New Roman"/>
          <w:sz w:val="24"/>
          <w:szCs w:val="24"/>
        </w:rPr>
        <w:t xml:space="preserve"> and this was seen in </w:t>
      </w:r>
      <w:r w:rsidR="00445C0E" w:rsidRPr="0027288A">
        <w:rPr>
          <w:rFonts w:ascii="Times New Roman" w:hAnsi="Times New Roman" w:cs="Times New Roman"/>
          <w:b/>
          <w:bCs/>
          <w:i/>
          <w:iCs/>
          <w:sz w:val="24"/>
          <w:szCs w:val="24"/>
        </w:rPr>
        <w:t>Association of Victims of Post electoral Violence and Inter-Rights v Cameroun</w:t>
      </w:r>
      <w:r w:rsidR="00445C0E">
        <w:rPr>
          <w:rFonts w:ascii="Times New Roman" w:hAnsi="Times New Roman" w:cs="Times New Roman"/>
          <w:sz w:val="24"/>
          <w:szCs w:val="24"/>
        </w:rPr>
        <w:t xml:space="preserve">; </w:t>
      </w:r>
      <w:r w:rsidR="004B7510">
        <w:rPr>
          <w:rFonts w:ascii="Times New Roman" w:hAnsi="Times New Roman" w:cs="Times New Roman"/>
          <w:sz w:val="24"/>
          <w:szCs w:val="24"/>
        </w:rPr>
        <w:t xml:space="preserve">“the member States of the OAU parties to the present Charter shall recognize the rights, duties and freedoms enshrined </w:t>
      </w:r>
      <w:r w:rsidR="0027288A">
        <w:rPr>
          <w:rFonts w:ascii="Times New Roman" w:hAnsi="Times New Roman" w:cs="Times New Roman"/>
          <w:sz w:val="24"/>
          <w:szCs w:val="24"/>
        </w:rPr>
        <w:t>in this Charter</w:t>
      </w:r>
      <w:r w:rsidR="00C84894">
        <w:rPr>
          <w:rFonts w:ascii="Times New Roman" w:hAnsi="Times New Roman" w:cs="Times New Roman"/>
          <w:sz w:val="24"/>
          <w:szCs w:val="24"/>
        </w:rPr>
        <w:t xml:space="preserve"> and shall undertake to abduct legislative or other measure to give effect to them”.</w:t>
      </w:r>
      <w:r w:rsidR="00167FDF">
        <w:rPr>
          <w:rFonts w:ascii="Times New Roman" w:hAnsi="Times New Roman" w:cs="Times New Roman"/>
          <w:sz w:val="24"/>
          <w:szCs w:val="24"/>
        </w:rPr>
        <w:t xml:space="preserve"> The problem of enforcement led to the creation of the Court.</w:t>
      </w:r>
    </w:p>
    <w:p w14:paraId="355FA213" w14:textId="247E6387" w:rsidR="00B61611" w:rsidRDefault="00B61611" w:rsidP="00C6285E">
      <w:pPr>
        <w:pStyle w:val="ListParagraph"/>
        <w:numPr>
          <w:ilvl w:val="0"/>
          <w:numId w:val="1"/>
        </w:numPr>
        <w:jc w:val="both"/>
        <w:rPr>
          <w:rFonts w:ascii="Times New Roman" w:hAnsi="Times New Roman" w:cs="Times New Roman"/>
          <w:sz w:val="24"/>
          <w:szCs w:val="24"/>
        </w:rPr>
      </w:pPr>
      <w:r w:rsidRPr="003452FC">
        <w:rPr>
          <w:rFonts w:ascii="Times New Roman" w:hAnsi="Times New Roman" w:cs="Times New Roman"/>
          <w:sz w:val="24"/>
          <w:szCs w:val="24"/>
          <w:u w:val="single"/>
        </w:rPr>
        <w:t>The African Court on Human and Peoples Rights</w:t>
      </w:r>
      <w:r>
        <w:rPr>
          <w:rFonts w:ascii="Times New Roman" w:hAnsi="Times New Roman" w:cs="Times New Roman"/>
          <w:sz w:val="24"/>
          <w:szCs w:val="24"/>
        </w:rPr>
        <w:t xml:space="preserve">: </w:t>
      </w:r>
      <w:r w:rsidR="00B15991">
        <w:rPr>
          <w:rFonts w:ascii="Times New Roman" w:hAnsi="Times New Roman" w:cs="Times New Roman"/>
          <w:sz w:val="24"/>
          <w:szCs w:val="24"/>
        </w:rPr>
        <w:t xml:space="preserve">This was created by </w:t>
      </w:r>
      <w:r w:rsidR="00B15991" w:rsidRPr="00AD4E55">
        <w:rPr>
          <w:rFonts w:ascii="Times New Roman" w:hAnsi="Times New Roman" w:cs="Times New Roman"/>
          <w:i/>
          <w:iCs/>
          <w:sz w:val="24"/>
          <w:szCs w:val="24"/>
        </w:rPr>
        <w:t>Article 1</w:t>
      </w:r>
      <w:r w:rsidR="00B15991">
        <w:rPr>
          <w:rFonts w:ascii="Times New Roman" w:hAnsi="Times New Roman" w:cs="Times New Roman"/>
          <w:sz w:val="24"/>
          <w:szCs w:val="24"/>
        </w:rPr>
        <w:t xml:space="preserve"> of the Protocol to the African Charter. The difference between the Commission and the Court is the binding nature of their decisions. The Court assumes jurisdiction over States signatory to the Charter by submitting cases before it</w:t>
      </w:r>
      <w:r w:rsidR="00F65DD2">
        <w:rPr>
          <w:rFonts w:ascii="Times New Roman" w:hAnsi="Times New Roman" w:cs="Times New Roman"/>
          <w:sz w:val="24"/>
          <w:szCs w:val="24"/>
        </w:rPr>
        <w:t xml:space="preserve">; therefore, by ratification in the case of </w:t>
      </w:r>
      <w:r w:rsidR="00F65DD2" w:rsidRPr="004D7FDD">
        <w:rPr>
          <w:rFonts w:ascii="Times New Roman" w:hAnsi="Times New Roman" w:cs="Times New Roman"/>
          <w:b/>
          <w:bCs/>
          <w:i/>
          <w:iCs/>
          <w:sz w:val="24"/>
          <w:szCs w:val="24"/>
        </w:rPr>
        <w:t>Abacha v Fawehin</w:t>
      </w:r>
      <w:r w:rsidR="00F52603">
        <w:rPr>
          <w:rFonts w:ascii="Times New Roman" w:hAnsi="Times New Roman" w:cs="Times New Roman"/>
          <w:b/>
          <w:bCs/>
          <w:i/>
          <w:iCs/>
          <w:sz w:val="24"/>
          <w:szCs w:val="24"/>
        </w:rPr>
        <w:t>mi</w:t>
      </w:r>
      <w:r w:rsidR="00A84193">
        <w:rPr>
          <w:rFonts w:ascii="Times New Roman" w:hAnsi="Times New Roman" w:cs="Times New Roman"/>
          <w:sz w:val="24"/>
          <w:szCs w:val="24"/>
        </w:rPr>
        <w:t>.</w:t>
      </w:r>
      <w:r w:rsidR="00A46FF8">
        <w:rPr>
          <w:rFonts w:ascii="Times New Roman" w:hAnsi="Times New Roman" w:cs="Times New Roman"/>
          <w:sz w:val="24"/>
          <w:szCs w:val="24"/>
        </w:rPr>
        <w:t xml:space="preserve"> The Court is mandated to complement the protective mandate in </w:t>
      </w:r>
      <w:r w:rsidR="00A46FF8" w:rsidRPr="004D7FDD">
        <w:rPr>
          <w:rFonts w:ascii="Times New Roman" w:hAnsi="Times New Roman" w:cs="Times New Roman"/>
          <w:i/>
          <w:iCs/>
          <w:sz w:val="24"/>
          <w:szCs w:val="24"/>
        </w:rPr>
        <w:t>Article 2</w:t>
      </w:r>
      <w:r w:rsidR="00A46FF8">
        <w:rPr>
          <w:rFonts w:ascii="Times New Roman" w:hAnsi="Times New Roman" w:cs="Times New Roman"/>
          <w:sz w:val="24"/>
          <w:szCs w:val="24"/>
        </w:rPr>
        <w:t xml:space="preserve"> </w:t>
      </w:r>
      <w:r w:rsidR="00A46FF8" w:rsidRPr="00940A9D">
        <w:rPr>
          <w:rFonts w:ascii="Times New Roman" w:hAnsi="Times New Roman" w:cs="Times New Roman"/>
          <w:i/>
          <w:iCs/>
          <w:sz w:val="24"/>
          <w:szCs w:val="24"/>
        </w:rPr>
        <w:t>of the Protocol</w:t>
      </w:r>
      <w:r w:rsidR="00A46FF8">
        <w:rPr>
          <w:rFonts w:ascii="Times New Roman" w:hAnsi="Times New Roman" w:cs="Times New Roman"/>
          <w:sz w:val="24"/>
          <w:szCs w:val="24"/>
        </w:rPr>
        <w:t>.</w:t>
      </w:r>
      <w:r w:rsidR="00047BB7">
        <w:rPr>
          <w:rFonts w:ascii="Times New Roman" w:hAnsi="Times New Roman" w:cs="Times New Roman"/>
          <w:sz w:val="24"/>
          <w:szCs w:val="24"/>
        </w:rPr>
        <w:t xml:space="preserve"> </w:t>
      </w:r>
      <w:r w:rsidR="0058729A">
        <w:rPr>
          <w:rFonts w:ascii="Times New Roman" w:hAnsi="Times New Roman" w:cs="Times New Roman"/>
          <w:sz w:val="24"/>
          <w:szCs w:val="24"/>
        </w:rPr>
        <w:t>The court has contentious</w:t>
      </w:r>
      <w:r w:rsidR="00D37383">
        <w:rPr>
          <w:rFonts w:ascii="Times New Roman" w:hAnsi="Times New Roman" w:cs="Times New Roman"/>
          <w:sz w:val="24"/>
          <w:szCs w:val="24"/>
        </w:rPr>
        <w:t xml:space="preserve"> in the case of </w:t>
      </w:r>
      <w:r w:rsidR="00D37383" w:rsidRPr="004339A8">
        <w:rPr>
          <w:rFonts w:ascii="Times New Roman" w:hAnsi="Times New Roman" w:cs="Times New Roman"/>
          <w:b/>
          <w:bCs/>
          <w:i/>
          <w:iCs/>
          <w:sz w:val="24"/>
          <w:szCs w:val="24"/>
        </w:rPr>
        <w:t>Efoua Samuel v Pan African Parliament</w:t>
      </w:r>
      <w:r w:rsidR="00F52603">
        <w:rPr>
          <w:rFonts w:ascii="Times New Roman" w:hAnsi="Times New Roman" w:cs="Times New Roman"/>
          <w:sz w:val="24"/>
          <w:szCs w:val="24"/>
        </w:rPr>
        <w:t xml:space="preserve"> </w:t>
      </w:r>
      <w:r w:rsidR="0058729A">
        <w:rPr>
          <w:rFonts w:ascii="Times New Roman" w:hAnsi="Times New Roman" w:cs="Times New Roman"/>
          <w:sz w:val="24"/>
          <w:szCs w:val="24"/>
        </w:rPr>
        <w:t xml:space="preserve">and advisory jurisdiction in </w:t>
      </w:r>
      <w:r w:rsidR="0058729A" w:rsidRPr="00DB51FA">
        <w:rPr>
          <w:rFonts w:ascii="Times New Roman" w:hAnsi="Times New Roman" w:cs="Times New Roman"/>
          <w:i/>
          <w:iCs/>
          <w:sz w:val="24"/>
          <w:szCs w:val="24"/>
        </w:rPr>
        <w:t xml:space="preserve">Article 7 </w:t>
      </w:r>
      <w:r w:rsidR="0058729A" w:rsidRPr="00C80A1C">
        <w:rPr>
          <w:rFonts w:ascii="Times New Roman" w:hAnsi="Times New Roman" w:cs="Times New Roman"/>
          <w:sz w:val="24"/>
          <w:szCs w:val="24"/>
        </w:rPr>
        <w:t>and</w:t>
      </w:r>
      <w:r w:rsidR="0058729A" w:rsidRPr="00DB51FA">
        <w:rPr>
          <w:rFonts w:ascii="Times New Roman" w:hAnsi="Times New Roman" w:cs="Times New Roman"/>
          <w:i/>
          <w:iCs/>
          <w:sz w:val="24"/>
          <w:szCs w:val="24"/>
        </w:rPr>
        <w:t xml:space="preserve"> Article 4</w:t>
      </w:r>
      <w:r w:rsidR="0027058B">
        <w:rPr>
          <w:rFonts w:ascii="Times New Roman" w:hAnsi="Times New Roman" w:cs="Times New Roman"/>
          <w:sz w:val="24"/>
          <w:szCs w:val="24"/>
        </w:rPr>
        <w:t>.</w:t>
      </w:r>
    </w:p>
    <w:p w14:paraId="6A80D467" w14:textId="77777777" w:rsidR="001B6BD6" w:rsidRDefault="006B2818" w:rsidP="00C6285E">
      <w:pPr>
        <w:pStyle w:val="ListParagraph"/>
        <w:numPr>
          <w:ilvl w:val="0"/>
          <w:numId w:val="1"/>
        </w:numPr>
        <w:jc w:val="both"/>
        <w:rPr>
          <w:rFonts w:ascii="Times New Roman" w:hAnsi="Times New Roman" w:cs="Times New Roman"/>
          <w:sz w:val="24"/>
          <w:szCs w:val="24"/>
        </w:rPr>
      </w:pPr>
      <w:r w:rsidRPr="001B6BD6">
        <w:rPr>
          <w:rFonts w:ascii="Times New Roman" w:hAnsi="Times New Roman" w:cs="Times New Roman"/>
          <w:sz w:val="24"/>
          <w:szCs w:val="24"/>
          <w:u w:val="single"/>
        </w:rPr>
        <w:t>The Community Court of Justice</w:t>
      </w:r>
      <w:r w:rsidR="00A767C4" w:rsidRPr="001B6BD6">
        <w:rPr>
          <w:rFonts w:ascii="Times New Roman" w:hAnsi="Times New Roman" w:cs="Times New Roman"/>
          <w:sz w:val="24"/>
          <w:szCs w:val="24"/>
          <w:u w:val="single"/>
        </w:rPr>
        <w:t xml:space="preserve"> (ECtJ)</w:t>
      </w:r>
      <w:r w:rsidRPr="001B6BD6">
        <w:rPr>
          <w:rFonts w:ascii="Times New Roman" w:hAnsi="Times New Roman" w:cs="Times New Roman"/>
          <w:sz w:val="24"/>
          <w:szCs w:val="24"/>
        </w:rPr>
        <w:t>: This is a sub-regional human rights enforcement body which applies to signatory West African member States</w:t>
      </w:r>
      <w:r w:rsidR="00575AE9" w:rsidRPr="001B6BD6">
        <w:rPr>
          <w:rFonts w:ascii="Times New Roman" w:hAnsi="Times New Roman" w:cs="Times New Roman"/>
          <w:sz w:val="24"/>
          <w:szCs w:val="24"/>
        </w:rPr>
        <w:t xml:space="preserve"> in </w:t>
      </w:r>
      <w:r w:rsidR="00575AE9" w:rsidRPr="001B6BD6">
        <w:rPr>
          <w:rFonts w:ascii="Times New Roman" w:hAnsi="Times New Roman" w:cs="Times New Roman"/>
          <w:i/>
          <w:iCs/>
          <w:sz w:val="24"/>
          <w:szCs w:val="24"/>
        </w:rPr>
        <w:t>Article 4(g) of the Revised ECOWAS</w:t>
      </w:r>
      <w:r w:rsidR="00A572AF" w:rsidRPr="001B6BD6">
        <w:rPr>
          <w:rFonts w:ascii="Times New Roman" w:hAnsi="Times New Roman" w:cs="Times New Roman"/>
          <w:i/>
          <w:iCs/>
          <w:sz w:val="24"/>
          <w:szCs w:val="24"/>
        </w:rPr>
        <w:t xml:space="preserve"> Treaty</w:t>
      </w:r>
      <w:r w:rsidR="00B95DC9" w:rsidRPr="001B6BD6">
        <w:rPr>
          <w:rFonts w:ascii="Times New Roman" w:hAnsi="Times New Roman" w:cs="Times New Roman"/>
          <w:sz w:val="24"/>
          <w:szCs w:val="24"/>
        </w:rPr>
        <w:t>.</w:t>
      </w:r>
      <w:r w:rsidR="00A767C4" w:rsidRPr="001B6BD6">
        <w:rPr>
          <w:rFonts w:ascii="Times New Roman" w:hAnsi="Times New Roman" w:cs="Times New Roman"/>
          <w:sz w:val="24"/>
          <w:szCs w:val="24"/>
        </w:rPr>
        <w:t xml:space="preserve"> The ECtJ applies the African Charter as the basic</w:t>
      </w:r>
      <w:r w:rsidR="00575AE9" w:rsidRPr="001B6BD6">
        <w:rPr>
          <w:rFonts w:ascii="Times New Roman" w:hAnsi="Times New Roman" w:cs="Times New Roman"/>
          <w:sz w:val="24"/>
          <w:szCs w:val="24"/>
        </w:rPr>
        <w:t xml:space="preserve"> human rights instrument of the community</w:t>
      </w:r>
      <w:r w:rsidR="00586E8D" w:rsidRPr="001B6BD6">
        <w:rPr>
          <w:rFonts w:ascii="Times New Roman" w:hAnsi="Times New Roman" w:cs="Times New Roman"/>
          <w:sz w:val="24"/>
          <w:szCs w:val="24"/>
        </w:rPr>
        <w:t xml:space="preserve"> in </w:t>
      </w:r>
      <w:r w:rsidR="00586E8D" w:rsidRPr="001B6BD6">
        <w:rPr>
          <w:rFonts w:ascii="Times New Roman" w:hAnsi="Times New Roman" w:cs="Times New Roman"/>
          <w:b/>
          <w:bCs/>
          <w:i/>
          <w:iCs/>
          <w:sz w:val="24"/>
          <w:szCs w:val="24"/>
        </w:rPr>
        <w:t>SERAP v FRN</w:t>
      </w:r>
      <w:r w:rsidR="00586E8D" w:rsidRPr="001B6BD6">
        <w:rPr>
          <w:rFonts w:ascii="Times New Roman" w:hAnsi="Times New Roman" w:cs="Times New Roman"/>
          <w:sz w:val="24"/>
          <w:szCs w:val="24"/>
        </w:rPr>
        <w:t>, “the co</w:t>
      </w:r>
      <w:r w:rsidR="002F0658" w:rsidRPr="001B6BD6">
        <w:rPr>
          <w:rFonts w:ascii="Times New Roman" w:hAnsi="Times New Roman" w:cs="Times New Roman"/>
          <w:sz w:val="24"/>
          <w:szCs w:val="24"/>
        </w:rPr>
        <w:t>u</w:t>
      </w:r>
      <w:r w:rsidR="00586E8D" w:rsidRPr="001B6BD6">
        <w:rPr>
          <w:rFonts w:ascii="Times New Roman" w:hAnsi="Times New Roman" w:cs="Times New Roman"/>
          <w:sz w:val="24"/>
          <w:szCs w:val="24"/>
        </w:rPr>
        <w:t>rts implementation is important…the ECOWAS Court is obliged to apply human rights within the principles of customary international law which guarantees human rights”</w:t>
      </w:r>
      <w:r w:rsidR="00575AE9" w:rsidRPr="001B6BD6">
        <w:rPr>
          <w:rFonts w:ascii="Times New Roman" w:hAnsi="Times New Roman" w:cs="Times New Roman"/>
          <w:sz w:val="24"/>
          <w:szCs w:val="24"/>
        </w:rPr>
        <w:t>.</w:t>
      </w:r>
      <w:r w:rsidR="00C10FB6" w:rsidRPr="001B6BD6">
        <w:rPr>
          <w:rFonts w:ascii="Times New Roman" w:hAnsi="Times New Roman" w:cs="Times New Roman"/>
          <w:sz w:val="24"/>
          <w:szCs w:val="24"/>
        </w:rPr>
        <w:t xml:space="preserve"> It shares competence with national courts within member States</w:t>
      </w:r>
      <w:r w:rsidR="002F0658" w:rsidRPr="001B6BD6">
        <w:rPr>
          <w:rFonts w:ascii="Times New Roman" w:hAnsi="Times New Roman" w:cs="Times New Roman"/>
          <w:sz w:val="24"/>
          <w:szCs w:val="24"/>
        </w:rPr>
        <w:t xml:space="preserve">, which means either a national court or the ECtJ can be approached for a redress to a human right violation. Therefore, once an effective and adequate remedy </w:t>
      </w:r>
      <w:r w:rsidR="00DC52D8" w:rsidRPr="001B6BD6">
        <w:rPr>
          <w:rFonts w:ascii="Times New Roman" w:hAnsi="Times New Roman" w:cs="Times New Roman"/>
          <w:sz w:val="24"/>
          <w:szCs w:val="24"/>
        </w:rPr>
        <w:t xml:space="preserve">has been obtained under either of the two courts, it becomes </w:t>
      </w:r>
      <w:r w:rsidR="00DC52D8" w:rsidRPr="001B6BD6">
        <w:rPr>
          <w:rFonts w:ascii="Times New Roman" w:hAnsi="Times New Roman" w:cs="Times New Roman"/>
          <w:i/>
          <w:iCs/>
          <w:sz w:val="24"/>
          <w:szCs w:val="24"/>
        </w:rPr>
        <w:t>res judicat</w:t>
      </w:r>
      <w:r w:rsidR="00C0365A" w:rsidRPr="001B6BD6">
        <w:rPr>
          <w:rFonts w:ascii="Times New Roman" w:hAnsi="Times New Roman" w:cs="Times New Roman"/>
          <w:i/>
          <w:iCs/>
          <w:sz w:val="24"/>
          <w:szCs w:val="24"/>
        </w:rPr>
        <w:t>a</w:t>
      </w:r>
      <w:r w:rsidR="00DC52D8" w:rsidRPr="001B6BD6">
        <w:rPr>
          <w:rFonts w:ascii="Times New Roman" w:hAnsi="Times New Roman" w:cs="Times New Roman"/>
          <w:sz w:val="24"/>
          <w:szCs w:val="24"/>
        </w:rPr>
        <w:t xml:space="preserve"> </w:t>
      </w:r>
      <w:r w:rsidR="00800328" w:rsidRPr="001B6BD6">
        <w:rPr>
          <w:rFonts w:ascii="Times New Roman" w:hAnsi="Times New Roman" w:cs="Times New Roman"/>
          <w:sz w:val="24"/>
          <w:szCs w:val="24"/>
        </w:rPr>
        <w:t xml:space="preserve">- </w:t>
      </w:r>
      <w:r w:rsidR="00DC52D8" w:rsidRPr="001B6BD6">
        <w:rPr>
          <w:rFonts w:ascii="Times New Roman" w:hAnsi="Times New Roman" w:cs="Times New Roman"/>
          <w:sz w:val="24"/>
          <w:szCs w:val="24"/>
        </w:rPr>
        <w:t xml:space="preserve">the applicant cannot recover a separate remedy in the other as seen in </w:t>
      </w:r>
      <w:r w:rsidR="00DC52D8" w:rsidRPr="001B6BD6">
        <w:rPr>
          <w:rFonts w:ascii="Times New Roman" w:hAnsi="Times New Roman" w:cs="Times New Roman"/>
          <w:b/>
          <w:bCs/>
          <w:i/>
          <w:iCs/>
          <w:sz w:val="24"/>
          <w:szCs w:val="24"/>
        </w:rPr>
        <w:t>Aliyu Tasheku v FRN</w:t>
      </w:r>
      <w:r w:rsidR="001B6BD6">
        <w:rPr>
          <w:rFonts w:ascii="Times New Roman" w:hAnsi="Times New Roman" w:cs="Times New Roman"/>
          <w:sz w:val="24"/>
          <w:szCs w:val="24"/>
        </w:rPr>
        <w:t>.</w:t>
      </w:r>
    </w:p>
    <w:p w14:paraId="25232414" w14:textId="3B709E97" w:rsidR="006528F0" w:rsidRPr="00944363" w:rsidRDefault="006528F0" w:rsidP="00944363">
      <w:pPr>
        <w:jc w:val="both"/>
        <w:rPr>
          <w:rFonts w:ascii="Times New Roman" w:hAnsi="Times New Roman" w:cs="Times New Roman"/>
          <w:sz w:val="24"/>
          <w:szCs w:val="24"/>
        </w:rPr>
      </w:pPr>
      <w:r w:rsidRPr="00944363">
        <w:rPr>
          <w:rFonts w:ascii="Times New Roman" w:hAnsi="Times New Roman" w:cs="Times New Roman"/>
          <w:sz w:val="24"/>
          <w:szCs w:val="24"/>
        </w:rPr>
        <w:t>Although these institutions are working hard, there are still many challenges attached to each of them in the fulfillment of their mandate of promoting and protecting human rights</w:t>
      </w:r>
      <w:r w:rsidR="00775BE5" w:rsidRPr="00944363">
        <w:rPr>
          <w:rFonts w:ascii="Times New Roman" w:hAnsi="Times New Roman" w:cs="Times New Roman"/>
          <w:sz w:val="24"/>
          <w:szCs w:val="24"/>
        </w:rPr>
        <w:t>. They include</w:t>
      </w:r>
      <w:r w:rsidR="00596449" w:rsidRPr="00944363">
        <w:rPr>
          <w:rFonts w:ascii="Times New Roman" w:hAnsi="Times New Roman" w:cs="Times New Roman"/>
          <w:sz w:val="24"/>
          <w:szCs w:val="24"/>
        </w:rPr>
        <w:t>;</w:t>
      </w:r>
    </w:p>
    <w:p w14:paraId="6FE5280F" w14:textId="7968871B" w:rsidR="00775BE5" w:rsidRPr="001628F7" w:rsidRDefault="00775BE5" w:rsidP="00C6285E">
      <w:pPr>
        <w:pStyle w:val="ListParagraph"/>
        <w:numPr>
          <w:ilvl w:val="0"/>
          <w:numId w:val="2"/>
        </w:numPr>
        <w:jc w:val="both"/>
        <w:rPr>
          <w:rFonts w:ascii="Times New Roman" w:hAnsi="Times New Roman" w:cs="Times New Roman"/>
          <w:sz w:val="24"/>
          <w:szCs w:val="24"/>
        </w:rPr>
      </w:pPr>
      <w:r w:rsidRPr="001628F7">
        <w:rPr>
          <w:rFonts w:ascii="Times New Roman" w:hAnsi="Times New Roman" w:cs="Times New Roman"/>
          <w:sz w:val="24"/>
          <w:szCs w:val="24"/>
          <w:u w:val="single"/>
        </w:rPr>
        <w:t>Process of seeking redress for a human right violation</w:t>
      </w:r>
      <w:r w:rsidRPr="001628F7">
        <w:rPr>
          <w:rFonts w:ascii="Times New Roman" w:hAnsi="Times New Roman" w:cs="Times New Roman"/>
          <w:sz w:val="24"/>
          <w:szCs w:val="24"/>
        </w:rPr>
        <w:t>: The ECtJ does not have this problem because it can be approached directly without exhausting local remedies</w:t>
      </w:r>
      <w:r w:rsidR="0090261B" w:rsidRPr="001628F7">
        <w:rPr>
          <w:rFonts w:ascii="Times New Roman" w:hAnsi="Times New Roman" w:cs="Times New Roman"/>
          <w:sz w:val="24"/>
          <w:szCs w:val="24"/>
        </w:rPr>
        <w:t xml:space="preserve">. The exhaustion of local remedies which is a </w:t>
      </w:r>
      <w:r w:rsidR="00B3446B" w:rsidRPr="001628F7">
        <w:rPr>
          <w:rFonts w:ascii="Times New Roman" w:hAnsi="Times New Roman" w:cs="Times New Roman"/>
          <w:sz w:val="24"/>
          <w:szCs w:val="24"/>
        </w:rPr>
        <w:t>criterion</w:t>
      </w:r>
      <w:r w:rsidR="0090261B" w:rsidRPr="001628F7">
        <w:rPr>
          <w:rFonts w:ascii="Times New Roman" w:hAnsi="Times New Roman" w:cs="Times New Roman"/>
          <w:sz w:val="24"/>
          <w:szCs w:val="24"/>
        </w:rPr>
        <w:t xml:space="preserve"> to approaching the African Commission by virtue of </w:t>
      </w:r>
      <w:r w:rsidR="0090261B" w:rsidRPr="001628F7">
        <w:rPr>
          <w:rFonts w:ascii="Times New Roman" w:hAnsi="Times New Roman" w:cs="Times New Roman"/>
          <w:i/>
          <w:iCs/>
          <w:sz w:val="24"/>
          <w:szCs w:val="24"/>
        </w:rPr>
        <w:t xml:space="preserve">Article </w:t>
      </w:r>
      <w:r w:rsidR="0090261B" w:rsidRPr="001628F7">
        <w:rPr>
          <w:rFonts w:ascii="Times New Roman" w:hAnsi="Times New Roman" w:cs="Times New Roman"/>
          <w:i/>
          <w:iCs/>
          <w:sz w:val="24"/>
          <w:szCs w:val="24"/>
        </w:rPr>
        <w:lastRenderedPageBreak/>
        <w:t>55 and 56 of the Charter</w:t>
      </w:r>
      <w:r w:rsidRPr="001628F7">
        <w:rPr>
          <w:rFonts w:ascii="Times New Roman" w:hAnsi="Times New Roman" w:cs="Times New Roman"/>
          <w:sz w:val="24"/>
          <w:szCs w:val="24"/>
        </w:rPr>
        <w:t xml:space="preserve"> </w:t>
      </w:r>
      <w:r w:rsidR="0090261B" w:rsidRPr="001628F7">
        <w:rPr>
          <w:rFonts w:ascii="Times New Roman" w:hAnsi="Times New Roman" w:cs="Times New Roman"/>
          <w:sz w:val="24"/>
          <w:szCs w:val="24"/>
        </w:rPr>
        <w:t xml:space="preserve">and </w:t>
      </w:r>
      <w:r w:rsidR="0090261B" w:rsidRPr="001628F7">
        <w:rPr>
          <w:rFonts w:ascii="Times New Roman" w:hAnsi="Times New Roman" w:cs="Times New Roman"/>
          <w:i/>
          <w:iCs/>
          <w:sz w:val="24"/>
          <w:szCs w:val="24"/>
        </w:rPr>
        <w:t xml:space="preserve">Article 37 </w:t>
      </w:r>
      <w:r w:rsidR="0090261B" w:rsidRPr="001628F7">
        <w:rPr>
          <w:rFonts w:ascii="Times New Roman" w:hAnsi="Times New Roman" w:cs="Times New Roman"/>
          <w:sz w:val="24"/>
          <w:szCs w:val="24"/>
        </w:rPr>
        <w:t xml:space="preserve">for approaching the African Court. It is not necessarily difficult to comply with but there are certain violations which require immediate redress or else the victim will suffer irreparable loss. </w:t>
      </w:r>
      <w:r w:rsidR="007F7183">
        <w:rPr>
          <w:rFonts w:ascii="Times New Roman" w:hAnsi="Times New Roman" w:cs="Times New Roman"/>
          <w:sz w:val="24"/>
          <w:szCs w:val="24"/>
        </w:rPr>
        <w:t xml:space="preserve">I cannot </w:t>
      </w:r>
      <w:r w:rsidR="00255001">
        <w:rPr>
          <w:rFonts w:ascii="Times New Roman" w:hAnsi="Times New Roman" w:cs="Times New Roman"/>
          <w:sz w:val="24"/>
          <w:szCs w:val="24"/>
        </w:rPr>
        <w:t>proffer</w:t>
      </w:r>
      <w:r w:rsidR="007F7183">
        <w:rPr>
          <w:rFonts w:ascii="Times New Roman" w:hAnsi="Times New Roman" w:cs="Times New Roman"/>
          <w:sz w:val="24"/>
          <w:szCs w:val="24"/>
        </w:rPr>
        <w:t xml:space="preserve"> a sufficient solution to this problem, but I suggest </w:t>
      </w:r>
      <w:r w:rsidR="00255001">
        <w:rPr>
          <w:rFonts w:ascii="Times New Roman" w:hAnsi="Times New Roman" w:cs="Times New Roman"/>
          <w:sz w:val="24"/>
          <w:szCs w:val="24"/>
        </w:rPr>
        <w:t xml:space="preserve">that </w:t>
      </w:r>
      <w:r w:rsidR="007F7183">
        <w:rPr>
          <w:rFonts w:ascii="Times New Roman" w:hAnsi="Times New Roman" w:cs="Times New Roman"/>
          <w:sz w:val="24"/>
          <w:szCs w:val="24"/>
        </w:rPr>
        <w:t>adequate assistance</w:t>
      </w:r>
      <w:r w:rsidR="00255001">
        <w:rPr>
          <w:rFonts w:ascii="Times New Roman" w:hAnsi="Times New Roman" w:cs="Times New Roman"/>
          <w:sz w:val="24"/>
          <w:szCs w:val="24"/>
        </w:rPr>
        <w:t xml:space="preserve"> be given to individuals who are seeking redress on how to go about it.</w:t>
      </w:r>
      <w:r w:rsidR="00BB699C">
        <w:rPr>
          <w:rFonts w:ascii="Times New Roman" w:hAnsi="Times New Roman" w:cs="Times New Roman"/>
          <w:sz w:val="24"/>
          <w:szCs w:val="24"/>
        </w:rPr>
        <w:t xml:space="preserve"> </w:t>
      </w:r>
    </w:p>
    <w:p w14:paraId="6DA78AF9" w14:textId="75853D4D" w:rsidR="00B3446B" w:rsidRPr="001628F7" w:rsidRDefault="00DC5874" w:rsidP="0038507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T</w:t>
      </w:r>
      <w:r w:rsidR="00B3446B" w:rsidRPr="001628F7">
        <w:rPr>
          <w:rFonts w:ascii="Times New Roman" w:hAnsi="Times New Roman" w:cs="Times New Roman"/>
          <w:sz w:val="24"/>
          <w:szCs w:val="24"/>
          <w:u w:val="single"/>
        </w:rPr>
        <w:t>ransparency:</w:t>
      </w:r>
      <w:r w:rsidR="00B3446B" w:rsidRPr="001628F7">
        <w:rPr>
          <w:rFonts w:ascii="Times New Roman" w:hAnsi="Times New Roman" w:cs="Times New Roman"/>
          <w:sz w:val="24"/>
          <w:szCs w:val="24"/>
        </w:rPr>
        <w:t xml:space="preserve"> </w:t>
      </w:r>
      <w:r w:rsidR="00385078">
        <w:rPr>
          <w:rFonts w:ascii="Times New Roman" w:hAnsi="Times New Roman" w:cs="Times New Roman"/>
          <w:sz w:val="24"/>
          <w:szCs w:val="24"/>
        </w:rPr>
        <w:t>T</w:t>
      </w:r>
      <w:r w:rsidR="00B3446B" w:rsidRPr="001628F7">
        <w:rPr>
          <w:rFonts w:ascii="Times New Roman" w:hAnsi="Times New Roman" w:cs="Times New Roman"/>
          <w:sz w:val="24"/>
          <w:szCs w:val="24"/>
        </w:rPr>
        <w:t xml:space="preserve">he concealment of reports by the Commission under </w:t>
      </w:r>
      <w:r w:rsidR="00B3446B" w:rsidRPr="001628F7">
        <w:rPr>
          <w:rFonts w:ascii="Times New Roman" w:hAnsi="Times New Roman" w:cs="Times New Roman"/>
          <w:i/>
          <w:iCs/>
          <w:sz w:val="24"/>
          <w:szCs w:val="24"/>
        </w:rPr>
        <w:t xml:space="preserve">Article 59 </w:t>
      </w:r>
      <w:r w:rsidR="00567951" w:rsidRPr="00567951">
        <w:rPr>
          <w:rFonts w:ascii="Times New Roman" w:hAnsi="Times New Roman" w:cs="Times New Roman"/>
          <w:sz w:val="24"/>
          <w:szCs w:val="24"/>
        </w:rPr>
        <w:t>allows</w:t>
      </w:r>
      <w:r w:rsidR="00567951">
        <w:rPr>
          <w:rFonts w:ascii="Times New Roman" w:hAnsi="Times New Roman" w:cs="Times New Roman"/>
          <w:i/>
          <w:iCs/>
          <w:sz w:val="24"/>
          <w:szCs w:val="24"/>
        </w:rPr>
        <w:t xml:space="preserve"> </w:t>
      </w:r>
      <w:r w:rsidR="00B3446B" w:rsidRPr="001628F7">
        <w:rPr>
          <w:rFonts w:ascii="Times New Roman" w:hAnsi="Times New Roman" w:cs="Times New Roman"/>
          <w:sz w:val="24"/>
          <w:szCs w:val="24"/>
        </w:rPr>
        <w:t xml:space="preserve">for impunity as seen in the case of </w:t>
      </w:r>
      <w:r w:rsidR="00F11588">
        <w:rPr>
          <w:rFonts w:ascii="Times New Roman" w:hAnsi="Times New Roman" w:cs="Times New Roman"/>
          <w:b/>
          <w:bCs/>
          <w:i/>
          <w:iCs/>
          <w:sz w:val="24"/>
          <w:szCs w:val="24"/>
        </w:rPr>
        <w:t xml:space="preserve">CRP </w:t>
      </w:r>
      <w:r w:rsidR="006C25FE" w:rsidRPr="001628F7">
        <w:rPr>
          <w:rFonts w:ascii="Times New Roman" w:hAnsi="Times New Roman" w:cs="Times New Roman"/>
          <w:b/>
          <w:bCs/>
          <w:i/>
          <w:iCs/>
          <w:sz w:val="24"/>
          <w:szCs w:val="24"/>
        </w:rPr>
        <w:t>v Nigeria</w:t>
      </w:r>
      <w:r w:rsidR="006C25FE" w:rsidRPr="001628F7">
        <w:rPr>
          <w:rFonts w:ascii="Times New Roman" w:hAnsi="Times New Roman" w:cs="Times New Roman"/>
          <w:sz w:val="24"/>
          <w:szCs w:val="24"/>
        </w:rPr>
        <w:t xml:space="preserve">; Nigeria was found guilty of violating Article 7 of the Charter </w:t>
      </w:r>
      <w:r w:rsidR="009F5539" w:rsidRPr="001628F7">
        <w:rPr>
          <w:rFonts w:ascii="Times New Roman" w:hAnsi="Times New Roman" w:cs="Times New Roman"/>
          <w:sz w:val="24"/>
          <w:szCs w:val="24"/>
        </w:rPr>
        <w:t>but the facts of its findings were never published.</w:t>
      </w:r>
      <w:r w:rsidR="00F920DD">
        <w:rPr>
          <w:rFonts w:ascii="Times New Roman" w:hAnsi="Times New Roman" w:cs="Times New Roman"/>
          <w:sz w:val="24"/>
          <w:szCs w:val="24"/>
        </w:rPr>
        <w:t xml:space="preserve"> A solution to this can be the introduction of a human rights law report which can be published concurrently like weekly and monthly law reports and any State which fails to submit its decided cases be sanctioned </w:t>
      </w:r>
      <w:r w:rsidR="00601EE2">
        <w:rPr>
          <w:rFonts w:ascii="Times New Roman" w:hAnsi="Times New Roman" w:cs="Times New Roman"/>
          <w:sz w:val="24"/>
          <w:szCs w:val="24"/>
        </w:rPr>
        <w:t>financially</w:t>
      </w:r>
      <w:r w:rsidR="00167FDF">
        <w:rPr>
          <w:rFonts w:ascii="Times New Roman" w:hAnsi="Times New Roman" w:cs="Times New Roman"/>
          <w:sz w:val="24"/>
          <w:szCs w:val="24"/>
        </w:rPr>
        <w:t xml:space="preserve"> or by any other agreed method</w:t>
      </w:r>
      <w:r w:rsidR="00D04A51">
        <w:rPr>
          <w:rFonts w:ascii="Times New Roman" w:hAnsi="Times New Roman" w:cs="Times New Roman"/>
          <w:sz w:val="24"/>
          <w:szCs w:val="24"/>
        </w:rPr>
        <w:t xml:space="preserve"> which will coerce States into submission</w:t>
      </w:r>
      <w:r w:rsidR="00601EE2">
        <w:rPr>
          <w:rFonts w:ascii="Times New Roman" w:hAnsi="Times New Roman" w:cs="Times New Roman"/>
          <w:sz w:val="24"/>
          <w:szCs w:val="24"/>
        </w:rPr>
        <w:t>.</w:t>
      </w:r>
    </w:p>
    <w:p w14:paraId="5B208E7D" w14:textId="1691ED9C" w:rsidR="002E62BD" w:rsidRPr="001628F7" w:rsidRDefault="002E62BD" w:rsidP="00C6285E">
      <w:pPr>
        <w:pStyle w:val="ListParagraph"/>
        <w:numPr>
          <w:ilvl w:val="0"/>
          <w:numId w:val="2"/>
        </w:numPr>
        <w:jc w:val="both"/>
        <w:rPr>
          <w:rFonts w:ascii="Times New Roman" w:hAnsi="Times New Roman" w:cs="Times New Roman"/>
          <w:sz w:val="24"/>
          <w:szCs w:val="24"/>
        </w:rPr>
      </w:pPr>
      <w:r w:rsidRPr="001628F7">
        <w:rPr>
          <w:rFonts w:ascii="Times New Roman" w:hAnsi="Times New Roman" w:cs="Times New Roman"/>
          <w:sz w:val="24"/>
          <w:szCs w:val="24"/>
          <w:u w:val="single"/>
        </w:rPr>
        <w:t>Control</w:t>
      </w:r>
      <w:r w:rsidR="00935333">
        <w:rPr>
          <w:rFonts w:ascii="Times New Roman" w:hAnsi="Times New Roman" w:cs="Times New Roman"/>
          <w:sz w:val="24"/>
          <w:szCs w:val="24"/>
          <w:u w:val="single"/>
        </w:rPr>
        <w:t>/R</w:t>
      </w:r>
      <w:r w:rsidRPr="001628F7">
        <w:rPr>
          <w:rFonts w:ascii="Times New Roman" w:hAnsi="Times New Roman" w:cs="Times New Roman"/>
          <w:sz w:val="24"/>
          <w:szCs w:val="24"/>
          <w:u w:val="single"/>
        </w:rPr>
        <w:t>estraints on Institutions:</w:t>
      </w:r>
      <w:r w:rsidRPr="001628F7">
        <w:rPr>
          <w:rFonts w:ascii="Times New Roman" w:hAnsi="Times New Roman" w:cs="Times New Roman"/>
          <w:sz w:val="24"/>
          <w:szCs w:val="24"/>
        </w:rPr>
        <w:t xml:space="preserve"> The Assembly of the Head of States and government has a strong grip </w:t>
      </w:r>
      <w:r w:rsidR="00584E9D" w:rsidRPr="001628F7">
        <w:rPr>
          <w:rFonts w:ascii="Times New Roman" w:hAnsi="Times New Roman" w:cs="Times New Roman"/>
          <w:sz w:val="24"/>
          <w:szCs w:val="24"/>
        </w:rPr>
        <w:t>on the Commission which in turn affects the Court</w:t>
      </w:r>
      <w:r w:rsidR="00A66D94">
        <w:rPr>
          <w:rFonts w:ascii="Times New Roman" w:hAnsi="Times New Roman" w:cs="Times New Roman"/>
          <w:sz w:val="24"/>
          <w:szCs w:val="24"/>
        </w:rPr>
        <w:t xml:space="preserve">, </w:t>
      </w:r>
      <w:r w:rsidR="00584E9D" w:rsidRPr="001628F7">
        <w:rPr>
          <w:rFonts w:ascii="Times New Roman" w:hAnsi="Times New Roman" w:cs="Times New Roman"/>
          <w:sz w:val="24"/>
          <w:szCs w:val="24"/>
        </w:rPr>
        <w:t xml:space="preserve">this is implied in </w:t>
      </w:r>
      <w:r w:rsidR="00584E9D" w:rsidRPr="001628F7">
        <w:rPr>
          <w:rFonts w:ascii="Times New Roman" w:hAnsi="Times New Roman" w:cs="Times New Roman"/>
          <w:i/>
          <w:iCs/>
          <w:sz w:val="24"/>
          <w:szCs w:val="24"/>
        </w:rPr>
        <w:t>Article 57</w:t>
      </w:r>
      <w:r w:rsidR="00584E9D" w:rsidRPr="001628F7">
        <w:rPr>
          <w:rFonts w:ascii="Times New Roman" w:hAnsi="Times New Roman" w:cs="Times New Roman"/>
          <w:sz w:val="24"/>
          <w:szCs w:val="24"/>
        </w:rPr>
        <w:t>. The Assembly of the Heads of state have the power to determine when and whether reports may be published and</w:t>
      </w:r>
      <w:r w:rsidRPr="001628F7">
        <w:rPr>
          <w:rFonts w:ascii="Times New Roman" w:hAnsi="Times New Roman" w:cs="Times New Roman"/>
          <w:sz w:val="24"/>
          <w:szCs w:val="24"/>
        </w:rPr>
        <w:t xml:space="preserve"> </w:t>
      </w:r>
      <w:r w:rsidR="00584E9D" w:rsidRPr="001628F7">
        <w:rPr>
          <w:rFonts w:ascii="Times New Roman" w:hAnsi="Times New Roman" w:cs="Times New Roman"/>
          <w:sz w:val="24"/>
          <w:szCs w:val="24"/>
        </w:rPr>
        <w:t>th</w:t>
      </w:r>
      <w:r w:rsidR="00BE0FE1" w:rsidRPr="001628F7">
        <w:rPr>
          <w:rFonts w:ascii="Times New Roman" w:hAnsi="Times New Roman" w:cs="Times New Roman"/>
          <w:sz w:val="24"/>
          <w:szCs w:val="24"/>
        </w:rPr>
        <w:t>e</w:t>
      </w:r>
      <w:r w:rsidR="00584E9D" w:rsidRPr="001628F7">
        <w:rPr>
          <w:rFonts w:ascii="Times New Roman" w:hAnsi="Times New Roman" w:cs="Times New Roman"/>
          <w:sz w:val="24"/>
          <w:szCs w:val="24"/>
        </w:rPr>
        <w:t>s</w:t>
      </w:r>
      <w:r w:rsidR="00BE0FE1" w:rsidRPr="001628F7">
        <w:rPr>
          <w:rFonts w:ascii="Times New Roman" w:hAnsi="Times New Roman" w:cs="Times New Roman"/>
          <w:sz w:val="24"/>
          <w:szCs w:val="24"/>
        </w:rPr>
        <w:t xml:space="preserve">e </w:t>
      </w:r>
      <w:r w:rsidR="00584E9D" w:rsidRPr="001628F7">
        <w:rPr>
          <w:rFonts w:ascii="Times New Roman" w:hAnsi="Times New Roman" w:cs="Times New Roman"/>
          <w:sz w:val="24"/>
          <w:szCs w:val="24"/>
        </w:rPr>
        <w:t>restrictions suffocate the commission and make it ineffective</w:t>
      </w:r>
      <w:r w:rsidR="00BE0FE1" w:rsidRPr="001628F7">
        <w:rPr>
          <w:rFonts w:ascii="Times New Roman" w:hAnsi="Times New Roman" w:cs="Times New Roman"/>
          <w:sz w:val="24"/>
          <w:szCs w:val="24"/>
        </w:rPr>
        <w:t xml:space="preserve">. In </w:t>
      </w:r>
      <w:r w:rsidR="00D436E4" w:rsidRPr="001628F7">
        <w:rPr>
          <w:rFonts w:ascii="Times New Roman" w:hAnsi="Times New Roman" w:cs="Times New Roman"/>
          <w:b/>
          <w:bCs/>
          <w:i/>
          <w:iCs/>
          <w:sz w:val="24"/>
          <w:szCs w:val="24"/>
        </w:rPr>
        <w:t>Inter-Rights on behalf of Ken Saro Wiwa v Nigeria</w:t>
      </w:r>
      <w:r w:rsidR="00D436E4" w:rsidRPr="001628F7">
        <w:rPr>
          <w:rFonts w:ascii="Times New Roman" w:hAnsi="Times New Roman" w:cs="Times New Roman"/>
          <w:sz w:val="24"/>
          <w:szCs w:val="24"/>
        </w:rPr>
        <w:t>; the Commission ordered interim measures to forestall the trial and eventual execution of Ken without due process</w:t>
      </w:r>
      <w:r w:rsidR="000B2FBE" w:rsidRPr="001628F7">
        <w:rPr>
          <w:rFonts w:ascii="Times New Roman" w:hAnsi="Times New Roman" w:cs="Times New Roman"/>
          <w:sz w:val="24"/>
          <w:szCs w:val="24"/>
        </w:rPr>
        <w:t>, but the Nigerian government did not comply with it</w:t>
      </w:r>
      <w:r w:rsidR="00A66D94">
        <w:rPr>
          <w:rFonts w:ascii="Times New Roman" w:hAnsi="Times New Roman" w:cs="Times New Roman"/>
          <w:sz w:val="24"/>
          <w:szCs w:val="24"/>
        </w:rPr>
        <w:t xml:space="preserve">. </w:t>
      </w:r>
      <w:r w:rsidR="00BB699C">
        <w:rPr>
          <w:rFonts w:ascii="Times New Roman" w:hAnsi="Times New Roman" w:cs="Times New Roman"/>
          <w:sz w:val="24"/>
          <w:szCs w:val="24"/>
        </w:rPr>
        <w:t>This can be addressed by revising the power the Assembly has over the Commission, and clearly</w:t>
      </w:r>
      <w:r w:rsidR="005A3321">
        <w:rPr>
          <w:rFonts w:ascii="Times New Roman" w:hAnsi="Times New Roman" w:cs="Times New Roman"/>
          <w:sz w:val="24"/>
          <w:szCs w:val="24"/>
        </w:rPr>
        <w:t xml:space="preserve"> </w:t>
      </w:r>
      <w:r w:rsidR="00BB699C">
        <w:rPr>
          <w:rFonts w:ascii="Times New Roman" w:hAnsi="Times New Roman" w:cs="Times New Roman"/>
          <w:sz w:val="24"/>
          <w:szCs w:val="24"/>
        </w:rPr>
        <w:t xml:space="preserve">separating </w:t>
      </w:r>
      <w:r w:rsidR="005A3321">
        <w:rPr>
          <w:rFonts w:ascii="Times New Roman" w:hAnsi="Times New Roman" w:cs="Times New Roman"/>
          <w:sz w:val="24"/>
          <w:szCs w:val="24"/>
        </w:rPr>
        <w:t>it</w:t>
      </w:r>
      <w:r w:rsidR="009E1A1A">
        <w:rPr>
          <w:rFonts w:ascii="Times New Roman" w:hAnsi="Times New Roman" w:cs="Times New Roman"/>
          <w:sz w:val="24"/>
          <w:szCs w:val="24"/>
        </w:rPr>
        <w:t xml:space="preserve"> </w:t>
      </w:r>
      <w:bookmarkStart w:id="0" w:name="_GoBack"/>
      <w:bookmarkEnd w:id="0"/>
      <w:r w:rsidR="00BB699C">
        <w:rPr>
          <w:rFonts w:ascii="Times New Roman" w:hAnsi="Times New Roman" w:cs="Times New Roman"/>
          <w:sz w:val="24"/>
          <w:szCs w:val="24"/>
        </w:rPr>
        <w:t>to allow the Commission perform freely without restrictions</w:t>
      </w:r>
      <w:r w:rsidR="00D04A51">
        <w:rPr>
          <w:rFonts w:ascii="Times New Roman" w:hAnsi="Times New Roman" w:cs="Times New Roman"/>
          <w:sz w:val="24"/>
          <w:szCs w:val="24"/>
        </w:rPr>
        <w:t xml:space="preserve"> and placing proper sanctions to deter States from future defaults on decisions reached by the Commission and Court.</w:t>
      </w:r>
    </w:p>
    <w:p w14:paraId="5E244EFD" w14:textId="1A901D24" w:rsidR="00F920DD" w:rsidRPr="00F920DD" w:rsidRDefault="000B2FBE" w:rsidP="005D2A3E">
      <w:pPr>
        <w:pStyle w:val="ListParagraph"/>
        <w:numPr>
          <w:ilvl w:val="0"/>
          <w:numId w:val="2"/>
        </w:numPr>
        <w:jc w:val="both"/>
        <w:rPr>
          <w:rFonts w:ascii="Times New Roman" w:hAnsi="Times New Roman" w:cs="Times New Roman"/>
          <w:sz w:val="24"/>
          <w:szCs w:val="24"/>
        </w:rPr>
      </w:pPr>
      <w:r w:rsidRPr="001628F7">
        <w:rPr>
          <w:rFonts w:ascii="Times New Roman" w:hAnsi="Times New Roman" w:cs="Times New Roman"/>
          <w:sz w:val="24"/>
          <w:szCs w:val="24"/>
        </w:rPr>
        <w:t>Another pressing issue is lack of awareness of victims on how they can enforce their rights have been/are being violated and this is a mandate of the African Commission which has not been fully realized</w:t>
      </w:r>
      <w:r w:rsidR="00455CEF" w:rsidRPr="001628F7">
        <w:rPr>
          <w:rFonts w:ascii="Times New Roman" w:hAnsi="Times New Roman" w:cs="Times New Roman"/>
          <w:sz w:val="24"/>
          <w:szCs w:val="24"/>
        </w:rPr>
        <w:t>.</w:t>
      </w:r>
      <w:r w:rsidR="009665E6">
        <w:rPr>
          <w:rFonts w:ascii="Times New Roman" w:hAnsi="Times New Roman" w:cs="Times New Roman"/>
          <w:sz w:val="24"/>
          <w:szCs w:val="24"/>
        </w:rPr>
        <w:t xml:space="preserve"> Public awareness in the simplest </w:t>
      </w:r>
      <w:r w:rsidR="005D2A3E">
        <w:rPr>
          <w:rFonts w:ascii="Times New Roman" w:hAnsi="Times New Roman" w:cs="Times New Roman"/>
          <w:sz w:val="24"/>
          <w:szCs w:val="24"/>
        </w:rPr>
        <w:t>is the best remedy.</w:t>
      </w:r>
      <w:r w:rsidR="005D2A3E" w:rsidRPr="00F920DD">
        <w:rPr>
          <w:rFonts w:ascii="Times New Roman" w:hAnsi="Times New Roman" w:cs="Times New Roman"/>
          <w:sz w:val="24"/>
          <w:szCs w:val="24"/>
        </w:rPr>
        <w:t xml:space="preserve"> </w:t>
      </w:r>
    </w:p>
    <w:p w14:paraId="612993D7" w14:textId="77777777" w:rsidR="001628F7" w:rsidRDefault="001628F7" w:rsidP="00C6285E">
      <w:pPr>
        <w:jc w:val="both"/>
        <w:rPr>
          <w:rFonts w:ascii="Times New Roman" w:hAnsi="Times New Roman" w:cs="Times New Roman"/>
          <w:sz w:val="24"/>
          <w:szCs w:val="24"/>
        </w:rPr>
      </w:pPr>
    </w:p>
    <w:p w14:paraId="06619EE9" w14:textId="77777777" w:rsidR="00796D71" w:rsidRDefault="00796D71" w:rsidP="00C6285E">
      <w:pPr>
        <w:jc w:val="both"/>
        <w:rPr>
          <w:rFonts w:ascii="Times New Roman" w:hAnsi="Times New Roman" w:cs="Times New Roman"/>
          <w:sz w:val="24"/>
          <w:szCs w:val="24"/>
        </w:rPr>
      </w:pPr>
    </w:p>
    <w:p w14:paraId="208B4418" w14:textId="77777777" w:rsidR="00596449" w:rsidRPr="006528F0" w:rsidRDefault="00596449" w:rsidP="00C6285E">
      <w:pPr>
        <w:jc w:val="both"/>
        <w:rPr>
          <w:rFonts w:ascii="Times New Roman" w:hAnsi="Times New Roman" w:cs="Times New Roman"/>
          <w:sz w:val="24"/>
          <w:szCs w:val="24"/>
        </w:rPr>
      </w:pPr>
    </w:p>
    <w:sectPr w:rsidR="00596449" w:rsidRPr="006528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945E" w14:textId="77777777" w:rsidR="00DC4D1A" w:rsidRDefault="00DC4D1A" w:rsidP="00F65DD2">
      <w:pPr>
        <w:spacing w:after="0" w:line="240" w:lineRule="auto"/>
      </w:pPr>
      <w:r>
        <w:separator/>
      </w:r>
    </w:p>
  </w:endnote>
  <w:endnote w:type="continuationSeparator" w:id="0">
    <w:p w14:paraId="464CE9F4" w14:textId="77777777" w:rsidR="00DC4D1A" w:rsidRDefault="00DC4D1A" w:rsidP="00F6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14507" w14:textId="77777777" w:rsidR="00DC4D1A" w:rsidRDefault="00DC4D1A" w:rsidP="00F65DD2">
      <w:pPr>
        <w:spacing w:after="0" w:line="240" w:lineRule="auto"/>
      </w:pPr>
      <w:r>
        <w:separator/>
      </w:r>
    </w:p>
  </w:footnote>
  <w:footnote w:type="continuationSeparator" w:id="0">
    <w:p w14:paraId="11F2D9D2" w14:textId="77777777" w:rsidR="00DC4D1A" w:rsidRDefault="00DC4D1A" w:rsidP="00F6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276AF"/>
    <w:multiLevelType w:val="hybridMultilevel"/>
    <w:tmpl w:val="FC667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247CA3"/>
    <w:multiLevelType w:val="hybridMultilevel"/>
    <w:tmpl w:val="25E07CC6"/>
    <w:lvl w:ilvl="0" w:tplc="3898853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9"/>
    <w:rsid w:val="00047BB7"/>
    <w:rsid w:val="000B2FBE"/>
    <w:rsid w:val="000B4BDB"/>
    <w:rsid w:val="00115F25"/>
    <w:rsid w:val="0012276A"/>
    <w:rsid w:val="001313BA"/>
    <w:rsid w:val="001628F7"/>
    <w:rsid w:val="00167FDF"/>
    <w:rsid w:val="001B6BD6"/>
    <w:rsid w:val="001C1D7E"/>
    <w:rsid w:val="001C763E"/>
    <w:rsid w:val="0020689A"/>
    <w:rsid w:val="00243FDA"/>
    <w:rsid w:val="00255001"/>
    <w:rsid w:val="0027058B"/>
    <w:rsid w:val="0027288A"/>
    <w:rsid w:val="002E62BD"/>
    <w:rsid w:val="002F0658"/>
    <w:rsid w:val="003367F6"/>
    <w:rsid w:val="003452FC"/>
    <w:rsid w:val="0034537B"/>
    <w:rsid w:val="00385078"/>
    <w:rsid w:val="003F0FAD"/>
    <w:rsid w:val="00411C35"/>
    <w:rsid w:val="004339A8"/>
    <w:rsid w:val="00445C0E"/>
    <w:rsid w:val="00455CEF"/>
    <w:rsid w:val="00485949"/>
    <w:rsid w:val="004B7510"/>
    <w:rsid w:val="004D7FDD"/>
    <w:rsid w:val="00567951"/>
    <w:rsid w:val="00575AE9"/>
    <w:rsid w:val="00584E9D"/>
    <w:rsid w:val="005853A8"/>
    <w:rsid w:val="00586E8D"/>
    <w:rsid w:val="0058729A"/>
    <w:rsid w:val="00596449"/>
    <w:rsid w:val="005A3321"/>
    <w:rsid w:val="005D2A3E"/>
    <w:rsid w:val="00601EE2"/>
    <w:rsid w:val="0063082D"/>
    <w:rsid w:val="006528F0"/>
    <w:rsid w:val="006B2818"/>
    <w:rsid w:val="006C25FE"/>
    <w:rsid w:val="006C6D9B"/>
    <w:rsid w:val="00722BF4"/>
    <w:rsid w:val="00775BE5"/>
    <w:rsid w:val="00790E2E"/>
    <w:rsid w:val="00796D71"/>
    <w:rsid w:val="007F7183"/>
    <w:rsid w:val="00800328"/>
    <w:rsid w:val="008A75A6"/>
    <w:rsid w:val="0090261B"/>
    <w:rsid w:val="00935333"/>
    <w:rsid w:val="00940A9D"/>
    <w:rsid w:val="00944363"/>
    <w:rsid w:val="009665E6"/>
    <w:rsid w:val="009A72E6"/>
    <w:rsid w:val="009E1A1A"/>
    <w:rsid w:val="009E1BAE"/>
    <w:rsid w:val="009F5539"/>
    <w:rsid w:val="00A46FF8"/>
    <w:rsid w:val="00A572AF"/>
    <w:rsid w:val="00A66D94"/>
    <w:rsid w:val="00A767C4"/>
    <w:rsid w:val="00A84193"/>
    <w:rsid w:val="00AD0F79"/>
    <w:rsid w:val="00AD1D5F"/>
    <w:rsid w:val="00AD4E55"/>
    <w:rsid w:val="00B15991"/>
    <w:rsid w:val="00B3446B"/>
    <w:rsid w:val="00B61611"/>
    <w:rsid w:val="00B95DC9"/>
    <w:rsid w:val="00BB0923"/>
    <w:rsid w:val="00BB5A2B"/>
    <w:rsid w:val="00BB699C"/>
    <w:rsid w:val="00BE0FE1"/>
    <w:rsid w:val="00BF00DE"/>
    <w:rsid w:val="00C0365A"/>
    <w:rsid w:val="00C10FB6"/>
    <w:rsid w:val="00C6285E"/>
    <w:rsid w:val="00C80A1C"/>
    <w:rsid w:val="00C84894"/>
    <w:rsid w:val="00D04A51"/>
    <w:rsid w:val="00D37383"/>
    <w:rsid w:val="00D436E4"/>
    <w:rsid w:val="00D744B7"/>
    <w:rsid w:val="00D97A16"/>
    <w:rsid w:val="00DB51FA"/>
    <w:rsid w:val="00DC4D1A"/>
    <w:rsid w:val="00DC52D8"/>
    <w:rsid w:val="00DC5874"/>
    <w:rsid w:val="00E4460A"/>
    <w:rsid w:val="00E67E46"/>
    <w:rsid w:val="00F11588"/>
    <w:rsid w:val="00F427A9"/>
    <w:rsid w:val="00F52603"/>
    <w:rsid w:val="00F65DD2"/>
    <w:rsid w:val="00F9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796FB"/>
  <w15:chartTrackingRefBased/>
  <w15:docId w15:val="{59893534-9959-4FC7-AB6D-1369049B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A8"/>
    <w:pPr>
      <w:ind w:left="720"/>
      <w:contextualSpacing/>
    </w:pPr>
  </w:style>
  <w:style w:type="paragraph" w:styleId="FootnoteText">
    <w:name w:val="footnote text"/>
    <w:basedOn w:val="Normal"/>
    <w:link w:val="FootnoteTextChar"/>
    <w:uiPriority w:val="99"/>
    <w:semiHidden/>
    <w:unhideWhenUsed/>
    <w:rsid w:val="00F65D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DD2"/>
    <w:rPr>
      <w:sz w:val="20"/>
      <w:szCs w:val="20"/>
    </w:rPr>
  </w:style>
  <w:style w:type="character" w:styleId="FootnoteReference">
    <w:name w:val="footnote reference"/>
    <w:basedOn w:val="DefaultParagraphFont"/>
    <w:uiPriority w:val="99"/>
    <w:semiHidden/>
    <w:unhideWhenUsed/>
    <w:rsid w:val="00F65D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CEEE-7FB1-45AD-B5A7-FE858F89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Biambo</dc:creator>
  <cp:keywords/>
  <dc:description/>
  <cp:lastModifiedBy>Biambo</cp:lastModifiedBy>
  <cp:revision>86</cp:revision>
  <dcterms:created xsi:type="dcterms:W3CDTF">2020-05-19T20:48:00Z</dcterms:created>
  <dcterms:modified xsi:type="dcterms:W3CDTF">2020-05-20T13:51:00Z</dcterms:modified>
</cp:coreProperties>
</file>