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B714E" w14:textId="5AF4BE5A" w:rsidR="000B02C1" w:rsidRDefault="00F64E40" w:rsidP="00FA3CE1">
      <w:pPr>
        <w:rPr>
          <w:rFonts w:ascii="Times New Roman" w:hAnsi="Times New Roman" w:cs="Times New Roman"/>
          <w:sz w:val="24"/>
          <w:szCs w:val="24"/>
        </w:rPr>
      </w:pPr>
      <w:r>
        <w:rPr>
          <w:rFonts w:ascii="Times New Roman" w:hAnsi="Times New Roman" w:cs="Times New Roman"/>
          <w:sz w:val="24"/>
          <w:szCs w:val="24"/>
        </w:rPr>
        <w:t>AJIJO AKINTOMIDE OLUMIDE</w:t>
      </w:r>
    </w:p>
    <w:p w14:paraId="7A376094" w14:textId="59C6110B" w:rsidR="00F64E40" w:rsidRDefault="00F64E40" w:rsidP="00FA3CE1">
      <w:pPr>
        <w:rPr>
          <w:rFonts w:ascii="Times New Roman" w:hAnsi="Times New Roman" w:cs="Times New Roman"/>
          <w:sz w:val="24"/>
          <w:szCs w:val="24"/>
        </w:rPr>
      </w:pPr>
      <w:r>
        <w:rPr>
          <w:rFonts w:ascii="Times New Roman" w:hAnsi="Times New Roman" w:cs="Times New Roman"/>
          <w:sz w:val="24"/>
          <w:szCs w:val="24"/>
        </w:rPr>
        <w:t>17/LAW01/040</w:t>
      </w:r>
    </w:p>
    <w:p w14:paraId="1E88C437" w14:textId="1A6C9DDF" w:rsidR="00F64E40" w:rsidRPr="00FA3CE1" w:rsidRDefault="00F64E40" w:rsidP="00FA3CE1">
      <w:pPr>
        <w:rPr>
          <w:rFonts w:ascii="Times New Roman" w:hAnsi="Times New Roman" w:cs="Times New Roman"/>
          <w:sz w:val="24"/>
          <w:szCs w:val="24"/>
        </w:rPr>
      </w:pPr>
      <w:r>
        <w:rPr>
          <w:rFonts w:ascii="Times New Roman" w:hAnsi="Times New Roman" w:cs="Times New Roman"/>
          <w:sz w:val="24"/>
          <w:szCs w:val="24"/>
        </w:rPr>
        <w:t>HUMAN RIGHT.</w:t>
      </w:r>
    </w:p>
    <w:p w14:paraId="684C7B40" w14:textId="0EBA26C0" w:rsidR="006E1270" w:rsidRDefault="000B02C1" w:rsidP="000B02C1">
      <w:pPr>
        <w:rPr>
          <w:rFonts w:ascii="Times New Roman" w:hAnsi="Times New Roman" w:cs="Times New Roman"/>
          <w:sz w:val="24"/>
          <w:szCs w:val="24"/>
        </w:rPr>
      </w:pPr>
      <w:r>
        <w:rPr>
          <w:rFonts w:ascii="Times New Roman" w:hAnsi="Times New Roman" w:cs="Times New Roman"/>
          <w:sz w:val="24"/>
          <w:szCs w:val="24"/>
        </w:rPr>
        <w:t xml:space="preserve">The </w:t>
      </w:r>
      <w:r w:rsidR="00FA3CE1">
        <w:rPr>
          <w:rFonts w:ascii="Times New Roman" w:hAnsi="Times New Roman" w:cs="Times New Roman"/>
          <w:sz w:val="24"/>
          <w:szCs w:val="24"/>
        </w:rPr>
        <w:t xml:space="preserve">Africa </w:t>
      </w:r>
      <w:r>
        <w:rPr>
          <w:rFonts w:ascii="Times New Roman" w:hAnsi="Times New Roman" w:cs="Times New Roman"/>
          <w:sz w:val="24"/>
          <w:szCs w:val="24"/>
        </w:rPr>
        <w:t>Commission</w:t>
      </w:r>
      <w:r w:rsidR="00FA3CE1">
        <w:rPr>
          <w:rFonts w:ascii="Times New Roman" w:hAnsi="Times New Roman" w:cs="Times New Roman"/>
          <w:sz w:val="24"/>
          <w:szCs w:val="24"/>
        </w:rPr>
        <w:t xml:space="preserve"> on Human and people’s right</w:t>
      </w:r>
      <w:r w:rsidR="007A0E0B">
        <w:rPr>
          <w:rFonts w:ascii="Times New Roman" w:hAnsi="Times New Roman" w:cs="Times New Roman"/>
          <w:sz w:val="24"/>
          <w:szCs w:val="24"/>
        </w:rPr>
        <w:t xml:space="preserve"> faces </w:t>
      </w:r>
      <w:r>
        <w:rPr>
          <w:rFonts w:ascii="Times New Roman" w:hAnsi="Times New Roman" w:cs="Times New Roman"/>
          <w:sz w:val="24"/>
          <w:szCs w:val="24"/>
        </w:rPr>
        <w:t xml:space="preserve">several challenges, one of the challenges that will affect the operation of </w:t>
      </w:r>
      <w:r w:rsidRPr="00B66209">
        <w:rPr>
          <w:rFonts w:ascii="Times New Roman" w:hAnsi="Times New Roman" w:cs="Times New Roman"/>
          <w:b/>
          <w:bCs/>
          <w:sz w:val="24"/>
          <w:szCs w:val="24"/>
        </w:rPr>
        <w:t>Article 30</w:t>
      </w:r>
      <w:r>
        <w:rPr>
          <w:rFonts w:ascii="Times New Roman" w:hAnsi="Times New Roman" w:cs="Times New Roman"/>
          <w:sz w:val="24"/>
          <w:szCs w:val="24"/>
        </w:rPr>
        <w:t xml:space="preserve"> of the charter is the principle of state sover</w:t>
      </w:r>
      <w:r w:rsidR="00DD1E6C">
        <w:rPr>
          <w:rFonts w:ascii="Times New Roman" w:hAnsi="Times New Roman" w:cs="Times New Roman"/>
          <w:sz w:val="24"/>
          <w:szCs w:val="24"/>
        </w:rPr>
        <w:t>e</w:t>
      </w:r>
      <w:r>
        <w:rPr>
          <w:rFonts w:ascii="Times New Roman" w:hAnsi="Times New Roman" w:cs="Times New Roman"/>
          <w:sz w:val="24"/>
          <w:szCs w:val="24"/>
        </w:rPr>
        <w:t>i</w:t>
      </w:r>
      <w:r w:rsidR="00DD1E6C">
        <w:rPr>
          <w:rFonts w:ascii="Times New Roman" w:hAnsi="Times New Roman" w:cs="Times New Roman"/>
          <w:sz w:val="24"/>
          <w:szCs w:val="24"/>
        </w:rPr>
        <w:t>gn</w:t>
      </w:r>
      <w:r w:rsidR="00FA3CE1">
        <w:rPr>
          <w:rFonts w:ascii="Times New Roman" w:hAnsi="Times New Roman" w:cs="Times New Roman"/>
          <w:sz w:val="24"/>
          <w:szCs w:val="24"/>
        </w:rPr>
        <w:t>ty</w:t>
      </w:r>
      <w:r>
        <w:rPr>
          <w:rFonts w:ascii="Times New Roman" w:hAnsi="Times New Roman" w:cs="Times New Roman"/>
          <w:sz w:val="24"/>
          <w:szCs w:val="24"/>
        </w:rPr>
        <w:t xml:space="preserve"> and that every state is equal and is not subject to the decision of other states.</w:t>
      </w:r>
    </w:p>
    <w:p w14:paraId="525C1DEA" w14:textId="58BCA2B1" w:rsidR="006E1270" w:rsidRDefault="006E1270" w:rsidP="000B02C1">
      <w:pPr>
        <w:rPr>
          <w:rFonts w:ascii="Times New Roman" w:hAnsi="Times New Roman" w:cs="Times New Roman"/>
          <w:sz w:val="24"/>
          <w:szCs w:val="24"/>
        </w:rPr>
      </w:pPr>
      <w:r>
        <w:rPr>
          <w:rFonts w:ascii="Times New Roman" w:hAnsi="Times New Roman" w:cs="Times New Roman"/>
          <w:sz w:val="24"/>
          <w:szCs w:val="24"/>
        </w:rPr>
        <w:t xml:space="preserve"> </w:t>
      </w:r>
      <w:r w:rsidR="000B02C1">
        <w:rPr>
          <w:rFonts w:ascii="Times New Roman" w:hAnsi="Times New Roman" w:cs="Times New Roman"/>
          <w:sz w:val="24"/>
          <w:szCs w:val="24"/>
        </w:rPr>
        <w:t xml:space="preserve"> </w:t>
      </w:r>
      <w:r w:rsidR="00126EEA" w:rsidRPr="00B66209">
        <w:rPr>
          <w:rFonts w:ascii="Times New Roman" w:hAnsi="Times New Roman" w:cs="Times New Roman"/>
          <w:b/>
          <w:bCs/>
          <w:sz w:val="24"/>
          <w:szCs w:val="24"/>
        </w:rPr>
        <w:t>Article 55</w:t>
      </w:r>
      <w:r w:rsidR="00126EEA">
        <w:rPr>
          <w:rFonts w:ascii="Times New Roman" w:hAnsi="Times New Roman" w:cs="Times New Roman"/>
          <w:sz w:val="24"/>
          <w:szCs w:val="24"/>
        </w:rPr>
        <w:t xml:space="preserve"> of the ACHPR is also a major challenge that </w:t>
      </w:r>
      <w:r w:rsidR="00F64E40">
        <w:rPr>
          <w:rFonts w:ascii="Times New Roman" w:hAnsi="Times New Roman" w:cs="Times New Roman"/>
          <w:sz w:val="24"/>
          <w:szCs w:val="24"/>
        </w:rPr>
        <w:t>affects</w:t>
      </w:r>
      <w:r w:rsidR="00126EEA">
        <w:rPr>
          <w:rFonts w:ascii="Times New Roman" w:hAnsi="Times New Roman" w:cs="Times New Roman"/>
          <w:sz w:val="24"/>
          <w:szCs w:val="24"/>
        </w:rPr>
        <w:t xml:space="preserve"> the commission, this Article provides that the commission may consider communication from other persons other than state parties, only if a simple majority of its members accepts such communication, this means that the members choose the communication to adjudicate on. </w:t>
      </w:r>
    </w:p>
    <w:p w14:paraId="450BE33A" w14:textId="270A426B" w:rsidR="006E1270" w:rsidRDefault="00630591" w:rsidP="000B02C1">
      <w:pPr>
        <w:rPr>
          <w:rFonts w:ascii="Times New Roman" w:hAnsi="Times New Roman" w:cs="Times New Roman"/>
          <w:sz w:val="24"/>
          <w:szCs w:val="24"/>
        </w:rPr>
      </w:pPr>
      <w:r>
        <w:rPr>
          <w:rFonts w:ascii="Times New Roman" w:hAnsi="Times New Roman" w:cs="Times New Roman"/>
          <w:b/>
          <w:bCs/>
          <w:sz w:val="24"/>
          <w:szCs w:val="24"/>
        </w:rPr>
        <w:t>Article 50, 56</w:t>
      </w:r>
      <w:r w:rsidR="007A0E0B">
        <w:rPr>
          <w:rFonts w:ascii="Times New Roman" w:hAnsi="Times New Roman" w:cs="Times New Roman"/>
          <w:sz w:val="24"/>
          <w:szCs w:val="24"/>
        </w:rPr>
        <w:t xml:space="preserve"> is a</w:t>
      </w:r>
      <w:r w:rsidR="00126EEA">
        <w:rPr>
          <w:rFonts w:ascii="Times New Roman" w:hAnsi="Times New Roman" w:cs="Times New Roman"/>
          <w:sz w:val="24"/>
          <w:szCs w:val="24"/>
        </w:rPr>
        <w:t xml:space="preserve"> challenge it provides that local remedies must be exhausted before approaching the commission, this is a challenge because some</w:t>
      </w:r>
      <w:r w:rsidR="00B66209">
        <w:rPr>
          <w:rFonts w:ascii="Times New Roman" w:hAnsi="Times New Roman" w:cs="Times New Roman"/>
          <w:sz w:val="24"/>
          <w:szCs w:val="24"/>
        </w:rPr>
        <w:t xml:space="preserve"> violations needs urgent remedies.</w:t>
      </w:r>
    </w:p>
    <w:p w14:paraId="7D2927CC" w14:textId="7BCF759B" w:rsidR="006E1270" w:rsidRDefault="00630591" w:rsidP="000B02C1">
      <w:pPr>
        <w:rPr>
          <w:rFonts w:ascii="Times New Roman" w:hAnsi="Times New Roman" w:cs="Times New Roman"/>
          <w:sz w:val="24"/>
          <w:szCs w:val="24"/>
        </w:rPr>
      </w:pPr>
      <w:r>
        <w:rPr>
          <w:rFonts w:ascii="Times New Roman" w:hAnsi="Times New Roman" w:cs="Times New Roman"/>
          <w:sz w:val="24"/>
          <w:szCs w:val="24"/>
        </w:rPr>
        <w:t xml:space="preserve"> Enforcement ; this</w:t>
      </w:r>
      <w:r w:rsidR="007A0E0B">
        <w:rPr>
          <w:rFonts w:ascii="Times New Roman" w:hAnsi="Times New Roman" w:cs="Times New Roman"/>
          <w:sz w:val="24"/>
          <w:szCs w:val="24"/>
        </w:rPr>
        <w:t xml:space="preserve"> challenge</w:t>
      </w:r>
      <w:r>
        <w:rPr>
          <w:rFonts w:ascii="Times New Roman" w:hAnsi="Times New Roman" w:cs="Times New Roman"/>
          <w:sz w:val="24"/>
          <w:szCs w:val="24"/>
        </w:rPr>
        <w:t xml:space="preserve"> could be as</w:t>
      </w:r>
      <w:bookmarkStart w:id="0" w:name="_GoBack"/>
      <w:bookmarkEnd w:id="0"/>
      <w:r w:rsidR="00B66209">
        <w:rPr>
          <w:rFonts w:ascii="Times New Roman" w:hAnsi="Times New Roman" w:cs="Times New Roman"/>
          <w:sz w:val="24"/>
          <w:szCs w:val="24"/>
        </w:rPr>
        <w:t xml:space="preserve"> regard to the principle that states has to make a further decl</w:t>
      </w:r>
      <w:r w:rsidR="00FA3CE1">
        <w:rPr>
          <w:rFonts w:ascii="Times New Roman" w:hAnsi="Times New Roman" w:cs="Times New Roman"/>
          <w:sz w:val="24"/>
          <w:szCs w:val="24"/>
        </w:rPr>
        <w:t>ar</w:t>
      </w:r>
      <w:r w:rsidR="00B66209">
        <w:rPr>
          <w:rFonts w:ascii="Times New Roman" w:hAnsi="Times New Roman" w:cs="Times New Roman"/>
          <w:sz w:val="24"/>
          <w:szCs w:val="24"/>
        </w:rPr>
        <w:t xml:space="preserve">ation to be </w:t>
      </w:r>
      <w:r w:rsidR="005D1977">
        <w:rPr>
          <w:rFonts w:ascii="Times New Roman" w:hAnsi="Times New Roman" w:cs="Times New Roman"/>
          <w:sz w:val="24"/>
          <w:szCs w:val="24"/>
        </w:rPr>
        <w:t>boun</w:t>
      </w:r>
      <w:r w:rsidR="00B66209">
        <w:rPr>
          <w:rFonts w:ascii="Times New Roman" w:hAnsi="Times New Roman" w:cs="Times New Roman"/>
          <w:sz w:val="24"/>
          <w:szCs w:val="24"/>
        </w:rPr>
        <w:t>ded by the decision of the</w:t>
      </w:r>
      <w:r w:rsidR="005D1977">
        <w:rPr>
          <w:rFonts w:ascii="Times New Roman" w:hAnsi="Times New Roman" w:cs="Times New Roman"/>
          <w:sz w:val="24"/>
          <w:szCs w:val="24"/>
        </w:rPr>
        <w:t xml:space="preserve"> commission, </w:t>
      </w:r>
      <w:r w:rsidR="00DD1E6C">
        <w:rPr>
          <w:rFonts w:ascii="Times New Roman" w:hAnsi="Times New Roman" w:cs="Times New Roman"/>
          <w:sz w:val="24"/>
          <w:szCs w:val="24"/>
        </w:rPr>
        <w:t>In</w:t>
      </w:r>
      <w:r w:rsidR="005D1977">
        <w:rPr>
          <w:rFonts w:ascii="Times New Roman" w:hAnsi="Times New Roman" w:cs="Times New Roman"/>
          <w:sz w:val="24"/>
          <w:szCs w:val="24"/>
        </w:rPr>
        <w:t xml:space="preserve"> </w:t>
      </w:r>
      <w:r w:rsidR="005D1977" w:rsidRPr="006E1270">
        <w:rPr>
          <w:rFonts w:ascii="Times New Roman" w:hAnsi="Times New Roman" w:cs="Times New Roman"/>
          <w:b/>
          <w:bCs/>
          <w:sz w:val="24"/>
          <w:szCs w:val="24"/>
        </w:rPr>
        <w:t>Inter Rights on behalf of Ken Saro-Wiwa and Civil Liberties Organization v. Nigeria</w:t>
      </w:r>
      <w:r w:rsidR="005D1977">
        <w:rPr>
          <w:rFonts w:ascii="Times New Roman" w:hAnsi="Times New Roman" w:cs="Times New Roman"/>
          <w:sz w:val="24"/>
          <w:szCs w:val="24"/>
        </w:rPr>
        <w:t>, the order given by the commis</w:t>
      </w:r>
      <w:r w:rsidR="007A0E0B">
        <w:rPr>
          <w:rFonts w:ascii="Times New Roman" w:hAnsi="Times New Roman" w:cs="Times New Roman"/>
          <w:sz w:val="24"/>
          <w:szCs w:val="24"/>
        </w:rPr>
        <w:t>sion before the execution of</w:t>
      </w:r>
      <w:r w:rsidR="005D1977">
        <w:rPr>
          <w:rFonts w:ascii="Times New Roman" w:hAnsi="Times New Roman" w:cs="Times New Roman"/>
          <w:sz w:val="24"/>
          <w:szCs w:val="24"/>
        </w:rPr>
        <w:t xml:space="preserve"> Saro wiwa was not complied with by Nigeria</w:t>
      </w:r>
      <w:r w:rsidR="006E7D7B">
        <w:rPr>
          <w:rFonts w:ascii="Times New Roman" w:hAnsi="Times New Roman" w:cs="Times New Roman"/>
          <w:sz w:val="24"/>
          <w:szCs w:val="24"/>
        </w:rPr>
        <w:t xml:space="preserve"> and the commission did nothing about it.</w:t>
      </w:r>
      <w:r w:rsidR="006E1270">
        <w:rPr>
          <w:rFonts w:ascii="Times New Roman" w:hAnsi="Times New Roman" w:cs="Times New Roman"/>
          <w:sz w:val="24"/>
          <w:szCs w:val="24"/>
        </w:rPr>
        <w:t xml:space="preserve"> </w:t>
      </w:r>
    </w:p>
    <w:p w14:paraId="58A81DC9" w14:textId="7B651306" w:rsidR="00DD1E6C" w:rsidRDefault="006E1270" w:rsidP="000B02C1">
      <w:pPr>
        <w:rPr>
          <w:rFonts w:ascii="Times New Roman" w:hAnsi="Times New Roman" w:cs="Times New Roman"/>
          <w:sz w:val="24"/>
          <w:szCs w:val="24"/>
        </w:rPr>
      </w:pPr>
      <w:r>
        <w:rPr>
          <w:rFonts w:ascii="Times New Roman" w:hAnsi="Times New Roman" w:cs="Times New Roman"/>
          <w:sz w:val="24"/>
          <w:szCs w:val="24"/>
        </w:rPr>
        <w:t>Concealment o</w:t>
      </w:r>
      <w:r w:rsidR="007A0E0B">
        <w:rPr>
          <w:rFonts w:ascii="Times New Roman" w:hAnsi="Times New Roman" w:cs="Times New Roman"/>
          <w:sz w:val="24"/>
          <w:szCs w:val="24"/>
        </w:rPr>
        <w:t>f fact</w:t>
      </w:r>
      <w:r>
        <w:rPr>
          <w:rFonts w:ascii="Times New Roman" w:hAnsi="Times New Roman" w:cs="Times New Roman"/>
          <w:sz w:val="24"/>
          <w:szCs w:val="24"/>
        </w:rPr>
        <w:t xml:space="preserve">, this is strengthened by Article 59(1) of the ACHPR, by this article, the commission has the power to conceal its report from the public and this has the effect of sanctioning all impunity. In </w:t>
      </w:r>
      <w:r w:rsidRPr="00C54D8F">
        <w:rPr>
          <w:rFonts w:ascii="Times New Roman" w:hAnsi="Times New Roman" w:cs="Times New Roman"/>
          <w:b/>
          <w:bCs/>
          <w:sz w:val="24"/>
          <w:szCs w:val="24"/>
        </w:rPr>
        <w:t>Constitutional Rights Project in respect</w:t>
      </w:r>
      <w:r w:rsidR="00C54D8F" w:rsidRPr="00C54D8F">
        <w:rPr>
          <w:rFonts w:ascii="Times New Roman" w:hAnsi="Times New Roman" w:cs="Times New Roman"/>
          <w:b/>
          <w:bCs/>
          <w:sz w:val="24"/>
          <w:szCs w:val="24"/>
        </w:rPr>
        <w:t xml:space="preserve"> of Zamani Lekwot ana six others v. Ni</w:t>
      </w:r>
      <w:r w:rsidR="00C12962">
        <w:rPr>
          <w:rFonts w:ascii="Times New Roman" w:hAnsi="Times New Roman" w:cs="Times New Roman"/>
          <w:b/>
          <w:bCs/>
          <w:sz w:val="24"/>
          <w:szCs w:val="24"/>
        </w:rPr>
        <w:t xml:space="preserve">geria </w:t>
      </w:r>
      <w:r w:rsidR="00C12962">
        <w:rPr>
          <w:rFonts w:ascii="Times New Roman" w:hAnsi="Times New Roman" w:cs="Times New Roman"/>
          <w:sz w:val="24"/>
          <w:szCs w:val="24"/>
        </w:rPr>
        <w:t>the commission found Nigeria guilty of violating article 7</w:t>
      </w:r>
      <w:r w:rsidR="00F64E40">
        <w:rPr>
          <w:rFonts w:ascii="Times New Roman" w:hAnsi="Times New Roman" w:cs="Times New Roman"/>
          <w:sz w:val="24"/>
          <w:szCs w:val="24"/>
        </w:rPr>
        <w:t xml:space="preserve"> </w:t>
      </w:r>
      <w:r w:rsidR="00C12962">
        <w:rPr>
          <w:rFonts w:ascii="Times New Roman" w:hAnsi="Times New Roman" w:cs="Times New Roman"/>
          <w:sz w:val="24"/>
          <w:szCs w:val="24"/>
        </w:rPr>
        <w:t>of the Charter and recommended that Nigeria should free the applicant who has been charged for a capital offence under the civil disturbance act, the commission decided to make a visit to Nigeria to make sure that the violation has been repaired but the report of the visit was never published</w:t>
      </w:r>
    </w:p>
    <w:p w14:paraId="6DA97161" w14:textId="721F22E2" w:rsidR="00C12962" w:rsidRDefault="007A0E0B" w:rsidP="000B02C1">
      <w:pPr>
        <w:rPr>
          <w:rFonts w:ascii="Times New Roman" w:hAnsi="Times New Roman" w:cs="Times New Roman"/>
          <w:sz w:val="24"/>
          <w:szCs w:val="24"/>
        </w:rPr>
      </w:pPr>
      <w:r>
        <w:rPr>
          <w:rFonts w:ascii="Times New Roman" w:hAnsi="Times New Roman" w:cs="Times New Roman"/>
          <w:sz w:val="24"/>
          <w:szCs w:val="24"/>
        </w:rPr>
        <w:t xml:space="preserve"> The </w:t>
      </w:r>
      <w:r w:rsidR="00AC5DAA">
        <w:rPr>
          <w:rFonts w:ascii="Times New Roman" w:hAnsi="Times New Roman" w:cs="Times New Roman"/>
          <w:sz w:val="24"/>
          <w:szCs w:val="24"/>
        </w:rPr>
        <w:t xml:space="preserve"> c</w:t>
      </w:r>
      <w:r w:rsidR="00C12962">
        <w:rPr>
          <w:rFonts w:ascii="Times New Roman" w:hAnsi="Times New Roman" w:cs="Times New Roman"/>
          <w:sz w:val="24"/>
          <w:szCs w:val="24"/>
        </w:rPr>
        <w:t xml:space="preserve">ommission </w:t>
      </w:r>
      <w:r>
        <w:rPr>
          <w:rFonts w:ascii="Times New Roman" w:hAnsi="Times New Roman" w:cs="Times New Roman"/>
          <w:sz w:val="24"/>
          <w:szCs w:val="24"/>
        </w:rPr>
        <w:t>should review</w:t>
      </w:r>
      <w:r w:rsidR="00C12962">
        <w:rPr>
          <w:rFonts w:ascii="Times New Roman" w:hAnsi="Times New Roman" w:cs="Times New Roman"/>
          <w:sz w:val="24"/>
          <w:szCs w:val="24"/>
        </w:rPr>
        <w:t xml:space="preserve"> its constructive instrument by relaxing the powers given to the members of the commission who decides w</w:t>
      </w:r>
      <w:r w:rsidR="00AC5DAA">
        <w:rPr>
          <w:rFonts w:ascii="Times New Roman" w:hAnsi="Times New Roman" w:cs="Times New Roman"/>
          <w:sz w:val="24"/>
          <w:szCs w:val="24"/>
        </w:rPr>
        <w:t xml:space="preserve">hich communication to be used, also the commission should try as much as possible to set up committee which will see to the enforcement of the commission decision, the commission should also relax the principle laid in Article 59(1) of the ACHPR so as to enable them have a sense of responsibility to the general public by making available the facts and reports of the commission this will enable them </w:t>
      </w:r>
      <w:r w:rsidR="00E705DF">
        <w:rPr>
          <w:rFonts w:ascii="Times New Roman" w:hAnsi="Times New Roman" w:cs="Times New Roman"/>
          <w:sz w:val="24"/>
          <w:szCs w:val="24"/>
        </w:rPr>
        <w:t>work better.</w:t>
      </w:r>
    </w:p>
    <w:p w14:paraId="352607D3" w14:textId="61C4BAEE" w:rsidR="00453C1E" w:rsidRDefault="00E705DF" w:rsidP="000B02C1">
      <w:pPr>
        <w:rPr>
          <w:rFonts w:ascii="Times New Roman" w:hAnsi="Times New Roman" w:cs="Times New Roman"/>
          <w:sz w:val="24"/>
          <w:szCs w:val="24"/>
        </w:rPr>
      </w:pPr>
      <w:r>
        <w:rPr>
          <w:rFonts w:ascii="Times New Roman" w:hAnsi="Times New Roman" w:cs="Times New Roman"/>
          <w:sz w:val="24"/>
          <w:szCs w:val="24"/>
        </w:rPr>
        <w:t xml:space="preserve">     The African Court on Human and People’s Right</w:t>
      </w:r>
      <w:r w:rsidR="00DD1E6C">
        <w:rPr>
          <w:rFonts w:ascii="Times New Roman" w:hAnsi="Times New Roman" w:cs="Times New Roman"/>
          <w:sz w:val="24"/>
          <w:szCs w:val="24"/>
        </w:rPr>
        <w:t xml:space="preserve"> makes </w:t>
      </w:r>
      <w:r w:rsidR="00453C1E">
        <w:rPr>
          <w:rFonts w:ascii="Times New Roman" w:hAnsi="Times New Roman" w:cs="Times New Roman"/>
          <w:sz w:val="24"/>
          <w:szCs w:val="24"/>
        </w:rPr>
        <w:t xml:space="preserve">Access to the court which is strengthened by Article </w:t>
      </w:r>
      <w:r w:rsidR="00F0374D">
        <w:rPr>
          <w:rFonts w:ascii="Times New Roman" w:hAnsi="Times New Roman" w:cs="Times New Roman"/>
          <w:sz w:val="24"/>
          <w:szCs w:val="24"/>
        </w:rPr>
        <w:t>5 and 34(6)</w:t>
      </w:r>
      <w:r w:rsidR="00DD1E6C">
        <w:rPr>
          <w:rFonts w:ascii="Times New Roman" w:hAnsi="Times New Roman" w:cs="Times New Roman"/>
          <w:sz w:val="24"/>
          <w:szCs w:val="24"/>
        </w:rPr>
        <w:t xml:space="preserve"> difficult</w:t>
      </w:r>
      <w:r w:rsidR="00F0374D">
        <w:rPr>
          <w:rFonts w:ascii="Times New Roman" w:hAnsi="Times New Roman" w:cs="Times New Roman"/>
          <w:sz w:val="24"/>
          <w:szCs w:val="24"/>
        </w:rPr>
        <w:t xml:space="preserve">; these article serves as a limitation to the category of people that can institute </w:t>
      </w:r>
      <w:r w:rsidR="007A0E0B">
        <w:rPr>
          <w:rFonts w:ascii="Times New Roman" w:hAnsi="Times New Roman" w:cs="Times New Roman"/>
          <w:sz w:val="24"/>
          <w:szCs w:val="24"/>
        </w:rPr>
        <w:t xml:space="preserve">an action before the court, </w:t>
      </w:r>
      <w:r w:rsidR="00F0374D">
        <w:rPr>
          <w:rFonts w:ascii="Times New Roman" w:hAnsi="Times New Roman" w:cs="Times New Roman"/>
          <w:sz w:val="24"/>
          <w:szCs w:val="24"/>
        </w:rPr>
        <w:t>for an individual to bring an action before the court, the condition that at the time of the ratification of the protocol or any time thereafter, the state shall make a declaration accepting the competence of the court to receive cases from individuals must be satisfied, this means that before an individual can bring a state to before the court, the state must have made a declaration to be b</w:t>
      </w:r>
      <w:r w:rsidR="00C50C7E">
        <w:rPr>
          <w:rFonts w:ascii="Times New Roman" w:hAnsi="Times New Roman" w:cs="Times New Roman"/>
          <w:sz w:val="24"/>
          <w:szCs w:val="24"/>
        </w:rPr>
        <w:t>oun</w:t>
      </w:r>
      <w:r w:rsidR="00F0374D">
        <w:rPr>
          <w:rFonts w:ascii="Times New Roman" w:hAnsi="Times New Roman" w:cs="Times New Roman"/>
          <w:sz w:val="24"/>
          <w:szCs w:val="24"/>
        </w:rPr>
        <w:t xml:space="preserve">ded by the decision of the court. </w:t>
      </w:r>
      <w:r w:rsidR="00DD1E6C">
        <w:rPr>
          <w:rFonts w:ascii="Times New Roman" w:hAnsi="Times New Roman" w:cs="Times New Roman"/>
          <w:sz w:val="24"/>
          <w:szCs w:val="24"/>
        </w:rPr>
        <w:t xml:space="preserve">In </w:t>
      </w:r>
      <w:r w:rsidR="00F0374D" w:rsidRPr="007A0E0B">
        <w:rPr>
          <w:rFonts w:ascii="Times New Roman" w:hAnsi="Times New Roman" w:cs="Times New Roman"/>
          <w:b/>
          <w:sz w:val="24"/>
          <w:szCs w:val="24"/>
        </w:rPr>
        <w:lastRenderedPageBreak/>
        <w:t>Ekollo Alexandre v. the Cameroon &amp; Nigeria</w:t>
      </w:r>
      <w:r w:rsidR="00F0374D">
        <w:rPr>
          <w:rFonts w:ascii="Times New Roman" w:hAnsi="Times New Roman" w:cs="Times New Roman"/>
          <w:sz w:val="24"/>
          <w:szCs w:val="24"/>
        </w:rPr>
        <w:t xml:space="preserve"> where the action against the respondent failed because </w:t>
      </w:r>
      <w:r w:rsidR="00B52CD4">
        <w:rPr>
          <w:rFonts w:ascii="Times New Roman" w:hAnsi="Times New Roman" w:cs="Times New Roman"/>
          <w:sz w:val="24"/>
          <w:szCs w:val="24"/>
        </w:rPr>
        <w:t>they had not made a decl</w:t>
      </w:r>
      <w:r w:rsidR="00DD1E6C">
        <w:rPr>
          <w:rFonts w:ascii="Times New Roman" w:hAnsi="Times New Roman" w:cs="Times New Roman"/>
          <w:sz w:val="24"/>
          <w:szCs w:val="24"/>
        </w:rPr>
        <w:t>a</w:t>
      </w:r>
      <w:r w:rsidR="00B52CD4">
        <w:rPr>
          <w:rFonts w:ascii="Times New Roman" w:hAnsi="Times New Roman" w:cs="Times New Roman"/>
          <w:sz w:val="24"/>
          <w:szCs w:val="24"/>
        </w:rPr>
        <w:t>ration and Cameroon had not ratified the protocol.</w:t>
      </w:r>
    </w:p>
    <w:p w14:paraId="3D73E17C" w14:textId="08A98239" w:rsidR="00B52CD4" w:rsidRDefault="00B52CD4" w:rsidP="000B02C1">
      <w:pPr>
        <w:rPr>
          <w:rFonts w:ascii="Times New Roman" w:hAnsi="Times New Roman" w:cs="Times New Roman"/>
          <w:sz w:val="24"/>
          <w:szCs w:val="24"/>
        </w:rPr>
      </w:pPr>
      <w:r>
        <w:rPr>
          <w:rFonts w:ascii="Times New Roman" w:hAnsi="Times New Roman" w:cs="Times New Roman"/>
          <w:sz w:val="24"/>
          <w:szCs w:val="24"/>
        </w:rPr>
        <w:t xml:space="preserve">  NGO’s must meet the requirement that they should be of observer status before the commission; this is to show that not just any organization can institute a proceeding before the court, this serves as a</w:t>
      </w:r>
      <w:r w:rsidR="00FA3CE1">
        <w:rPr>
          <w:rFonts w:ascii="Times New Roman" w:hAnsi="Times New Roman" w:cs="Times New Roman"/>
          <w:sz w:val="24"/>
          <w:szCs w:val="24"/>
        </w:rPr>
        <w:t xml:space="preserve"> </w:t>
      </w:r>
      <w:r>
        <w:rPr>
          <w:rFonts w:ascii="Times New Roman" w:hAnsi="Times New Roman" w:cs="Times New Roman"/>
          <w:sz w:val="24"/>
          <w:szCs w:val="24"/>
        </w:rPr>
        <w:t>limitation to people who has their rights being violated.</w:t>
      </w:r>
      <w:r w:rsidR="00DD1E6C">
        <w:rPr>
          <w:rFonts w:ascii="Times New Roman" w:hAnsi="Times New Roman" w:cs="Times New Roman"/>
          <w:sz w:val="24"/>
          <w:szCs w:val="24"/>
        </w:rPr>
        <w:t xml:space="preserve"> In</w:t>
      </w:r>
      <w:r>
        <w:rPr>
          <w:rFonts w:ascii="Times New Roman" w:hAnsi="Times New Roman" w:cs="Times New Roman"/>
          <w:sz w:val="24"/>
          <w:szCs w:val="24"/>
        </w:rPr>
        <w:t xml:space="preserve"> National Convention of teachers trade union v. Gabon, where the court held that the application is inadmissible on the grounds that the organization did not have observer status before the court.</w:t>
      </w:r>
    </w:p>
    <w:p w14:paraId="360D124E" w14:textId="59491A00" w:rsidR="00B52CD4" w:rsidRDefault="00B52CD4" w:rsidP="000B02C1">
      <w:pPr>
        <w:rPr>
          <w:rFonts w:ascii="Times New Roman" w:hAnsi="Times New Roman" w:cs="Times New Roman"/>
          <w:sz w:val="24"/>
          <w:szCs w:val="24"/>
        </w:rPr>
      </w:pPr>
      <w:r>
        <w:rPr>
          <w:rFonts w:ascii="Times New Roman" w:hAnsi="Times New Roman" w:cs="Times New Roman"/>
          <w:sz w:val="24"/>
          <w:szCs w:val="24"/>
        </w:rPr>
        <w:t xml:space="preserve">    </w:t>
      </w:r>
      <w:r w:rsidR="00F64E40">
        <w:rPr>
          <w:rFonts w:ascii="Times New Roman" w:hAnsi="Times New Roman" w:cs="Times New Roman"/>
          <w:sz w:val="24"/>
          <w:szCs w:val="24"/>
        </w:rPr>
        <w:t>T</w:t>
      </w:r>
      <w:r>
        <w:rPr>
          <w:rFonts w:ascii="Times New Roman" w:hAnsi="Times New Roman" w:cs="Times New Roman"/>
          <w:sz w:val="24"/>
          <w:szCs w:val="24"/>
        </w:rPr>
        <w:t>he court</w:t>
      </w:r>
      <w:r w:rsidR="00F64E40">
        <w:rPr>
          <w:rFonts w:ascii="Times New Roman" w:hAnsi="Times New Roman" w:cs="Times New Roman"/>
          <w:sz w:val="24"/>
          <w:szCs w:val="24"/>
        </w:rPr>
        <w:t xml:space="preserve"> should</w:t>
      </w:r>
      <w:r>
        <w:rPr>
          <w:rFonts w:ascii="Times New Roman" w:hAnsi="Times New Roman" w:cs="Times New Roman"/>
          <w:sz w:val="24"/>
          <w:szCs w:val="24"/>
        </w:rPr>
        <w:t xml:space="preserve"> make the protocol that allows access to the court flexible so as to cover a wide range of NGO’s and not to make them limited to the provision giv</w:t>
      </w:r>
      <w:r w:rsidR="00FA3CE1">
        <w:rPr>
          <w:rFonts w:ascii="Times New Roman" w:hAnsi="Times New Roman" w:cs="Times New Roman"/>
          <w:sz w:val="24"/>
          <w:szCs w:val="24"/>
        </w:rPr>
        <w:t>en</w:t>
      </w:r>
      <w:r w:rsidR="00C50C7E">
        <w:rPr>
          <w:rFonts w:ascii="Times New Roman" w:hAnsi="Times New Roman" w:cs="Times New Roman"/>
          <w:sz w:val="24"/>
          <w:szCs w:val="24"/>
        </w:rPr>
        <w:t>.</w:t>
      </w:r>
      <w:r w:rsidR="00FA3CE1">
        <w:rPr>
          <w:rFonts w:ascii="Times New Roman" w:hAnsi="Times New Roman" w:cs="Times New Roman"/>
          <w:sz w:val="24"/>
          <w:szCs w:val="24"/>
        </w:rPr>
        <w:t xml:space="preserve"> </w:t>
      </w:r>
    </w:p>
    <w:p w14:paraId="437F2C99" w14:textId="78B61B82" w:rsidR="00541D22" w:rsidRDefault="00FA3CE1" w:rsidP="000B02C1">
      <w:pPr>
        <w:rPr>
          <w:rFonts w:ascii="Times New Roman" w:hAnsi="Times New Roman" w:cs="Times New Roman"/>
          <w:sz w:val="24"/>
          <w:szCs w:val="24"/>
        </w:rPr>
      </w:pPr>
      <w:r>
        <w:rPr>
          <w:rFonts w:ascii="Times New Roman" w:hAnsi="Times New Roman" w:cs="Times New Roman"/>
          <w:sz w:val="24"/>
          <w:szCs w:val="24"/>
        </w:rPr>
        <w:t xml:space="preserve">    The ECOWAS Court of Justice </w:t>
      </w:r>
      <w:r w:rsidR="00C50C7E">
        <w:rPr>
          <w:rFonts w:ascii="Times New Roman" w:hAnsi="Times New Roman" w:cs="Times New Roman"/>
          <w:sz w:val="24"/>
          <w:szCs w:val="24"/>
        </w:rPr>
        <w:t xml:space="preserve">give a person the opportunity to approach as a curt of first instance, the challenge of this is that once a person decides to go directly to the court and the matter has been determined by the court, such a person </w:t>
      </w:r>
      <w:r w:rsidR="00DD1E6C">
        <w:rPr>
          <w:rFonts w:ascii="Times New Roman" w:hAnsi="Times New Roman" w:cs="Times New Roman"/>
          <w:sz w:val="24"/>
          <w:szCs w:val="24"/>
        </w:rPr>
        <w:t>cannot go on appeal, this is the principle of resjudicta; a matter that has been adjudicated by a competent court and therefore may not be pursued further by the same party. This principle is unlike the municipal courts where one can appeal if he is not satisfied by the decision of the court.</w:t>
      </w:r>
      <w:r w:rsidR="00541D22">
        <w:rPr>
          <w:rFonts w:ascii="Times New Roman" w:hAnsi="Times New Roman" w:cs="Times New Roman"/>
          <w:sz w:val="24"/>
          <w:szCs w:val="24"/>
        </w:rPr>
        <w:t xml:space="preserve"> Enforcement is generally a major problem </w:t>
      </w:r>
      <w:r w:rsidR="007A0E0B">
        <w:rPr>
          <w:rFonts w:ascii="Times New Roman" w:hAnsi="Times New Roman" w:cs="Times New Roman"/>
          <w:sz w:val="24"/>
          <w:szCs w:val="24"/>
        </w:rPr>
        <w:t>to all the Public Institutions.</w:t>
      </w:r>
    </w:p>
    <w:p w14:paraId="6E14F068" w14:textId="371F0FBE" w:rsidR="00FA3CE1" w:rsidRDefault="00541D22" w:rsidP="000B02C1">
      <w:pPr>
        <w:rPr>
          <w:rFonts w:ascii="Times New Roman" w:hAnsi="Times New Roman" w:cs="Times New Roman"/>
          <w:sz w:val="24"/>
          <w:szCs w:val="24"/>
        </w:rPr>
      </w:pPr>
      <w:r>
        <w:rPr>
          <w:rFonts w:ascii="Times New Roman" w:hAnsi="Times New Roman" w:cs="Times New Roman"/>
          <w:sz w:val="24"/>
          <w:szCs w:val="24"/>
        </w:rPr>
        <w:t xml:space="preserve">In conclusion the court </w:t>
      </w:r>
      <w:r w:rsidR="00F64E40">
        <w:rPr>
          <w:rFonts w:ascii="Times New Roman" w:hAnsi="Times New Roman" w:cs="Times New Roman"/>
          <w:sz w:val="24"/>
          <w:szCs w:val="24"/>
        </w:rPr>
        <w:t xml:space="preserve">should </w:t>
      </w:r>
      <w:r>
        <w:rPr>
          <w:rFonts w:ascii="Times New Roman" w:hAnsi="Times New Roman" w:cs="Times New Roman"/>
          <w:sz w:val="24"/>
          <w:szCs w:val="24"/>
        </w:rPr>
        <w:t xml:space="preserve">ensures that they are proper bodies and committee put in place for members of the ECJ to see to the enforcements of the courts decision by various States. </w:t>
      </w:r>
    </w:p>
    <w:p w14:paraId="732780DB" w14:textId="7EEDBE4B" w:rsidR="00DD1E6C" w:rsidRPr="00C12962" w:rsidRDefault="00DD1E6C" w:rsidP="000B02C1">
      <w:pPr>
        <w:rPr>
          <w:rFonts w:ascii="Times New Roman" w:hAnsi="Times New Roman" w:cs="Times New Roman"/>
          <w:sz w:val="24"/>
          <w:szCs w:val="24"/>
        </w:rPr>
      </w:pPr>
      <w:r>
        <w:rPr>
          <w:rFonts w:ascii="Times New Roman" w:hAnsi="Times New Roman" w:cs="Times New Roman"/>
          <w:sz w:val="24"/>
          <w:szCs w:val="24"/>
        </w:rPr>
        <w:t xml:space="preserve">  </w:t>
      </w:r>
    </w:p>
    <w:sectPr w:rsidR="00DD1E6C" w:rsidRPr="00C129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3620E"/>
    <w:multiLevelType w:val="hybridMultilevel"/>
    <w:tmpl w:val="31D2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31"/>
    <w:rsid w:val="000B02C1"/>
    <w:rsid w:val="00126EEA"/>
    <w:rsid w:val="004029A1"/>
    <w:rsid w:val="00453C1E"/>
    <w:rsid w:val="00483B31"/>
    <w:rsid w:val="00541D22"/>
    <w:rsid w:val="005D1977"/>
    <w:rsid w:val="00630591"/>
    <w:rsid w:val="006E1270"/>
    <w:rsid w:val="006E7D7B"/>
    <w:rsid w:val="007A0E0B"/>
    <w:rsid w:val="00AC5DAA"/>
    <w:rsid w:val="00B52CD4"/>
    <w:rsid w:val="00B66209"/>
    <w:rsid w:val="00C12962"/>
    <w:rsid w:val="00C50C7E"/>
    <w:rsid w:val="00C54D8F"/>
    <w:rsid w:val="00DD1E6C"/>
    <w:rsid w:val="00E705DF"/>
    <w:rsid w:val="00F0374D"/>
    <w:rsid w:val="00F64E40"/>
    <w:rsid w:val="00FA3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05C1"/>
  <w15:chartTrackingRefBased/>
  <w15:docId w15:val="{0F81E4D3-FC03-4ABB-B6C1-09761DBA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Ajijo, Emmanuel (contracted)</cp:lastModifiedBy>
  <cp:revision>3</cp:revision>
  <dcterms:created xsi:type="dcterms:W3CDTF">2020-05-20T10:52:00Z</dcterms:created>
  <dcterms:modified xsi:type="dcterms:W3CDTF">2020-05-20T14:46:00Z</dcterms:modified>
</cp:coreProperties>
</file>