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rFonts w:hint="default"/>
          <w:lang w:val="en-US"/>
        </w:rPr>
        <w:t>Name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>onwuka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Adaora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rosemary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>Department:</w:t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>Nursing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science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>Matric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no_:18/mhs02/161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>Course: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physiology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/>
          <w:lang w:val="en-US"/>
        </w:rPr>
        <w:t>Answer</w:t>
      </w:r>
      <w:r>
        <w:rPr>
          <w:rFonts w:hint="default"/>
          <w:b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>Writ</w:t>
      </w:r>
      <w:r>
        <w:rPr>
          <w:rFonts w:hint="default"/>
          <w:lang w:val="en-US"/>
        </w:rPr>
        <w:t>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short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implantation</w:t>
      </w:r>
      <w:r>
        <w:rPr>
          <w:rFonts w:hint="default"/>
          <w:lang w:val="en-US"/>
        </w:rPr>
        <w:t>?</w:t>
      </w:r>
    </w:p>
    <w:p>
      <w:pPr>
        <w:pStyle w:val="style0"/>
        <w:rPr/>
      </w:pPr>
      <w:r>
        <w:rPr>
          <w:rFonts w:hint="default"/>
          <w:b/>
          <w:lang w:val="en-US"/>
        </w:rPr>
        <w:t>Impl</w:t>
      </w:r>
      <w:r>
        <w:rPr>
          <w:rFonts w:hint="default"/>
          <w:b/>
          <w:lang w:val="en-US"/>
        </w:rPr>
        <w:t>antation</w:t>
      </w:r>
    </w:p>
    <w:p>
      <w:pPr>
        <w:pStyle w:val="style0"/>
        <w:rPr/>
      </w:pP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Implantation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process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which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developing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embryo,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moving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blastocyst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through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uterus,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makes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contact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uterine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remains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attached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until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birth.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lining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uterus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(endometrium)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prepares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developing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blastocyst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attach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internal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changes</w:t>
      </w:r>
      <w:r>
        <w:rPr>
          <w:rFonts w:hint="default"/>
          <w:lang w:val="en-US"/>
        </w:rPr>
        <w:t>.</w:t>
      </w:r>
    </w:p>
    <w:p>
      <w:pPr>
        <w:pStyle w:val="style0"/>
        <w:rPr/>
      </w:pP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humans,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implantation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pregnancy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which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embryo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adheres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uterus.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prenatal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development,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conceptus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called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blastocyst.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adhesion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embryo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receives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oxygen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nutrients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mother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grow.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typically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happens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6–12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days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after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fertilization.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time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women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begin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experience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pregnancy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symptoms,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including: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cramps.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Some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women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notice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some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minor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cramping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right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around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time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taking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place.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bleeding.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Nausea.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Tender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breasts.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Constipation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bloating.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Fatigue.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Headaches.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...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Mood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swings.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process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developing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moving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through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makes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contact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wall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remains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attached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until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birth.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lining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(endometrium)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prepares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developing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attach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via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many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changes.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Without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changes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not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occur,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sloughs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during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menstruation.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unique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mammals,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but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not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mammals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exhibit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Furthermore,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those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mammals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exhibit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process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differs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many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respects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between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those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mammals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females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estrous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cycles,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those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mammals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females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menstrual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cycles.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Females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different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species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primates,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including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humans,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menstrual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cycles,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similar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processes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Before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embryogenesis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begins,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ovary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releases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unfertilized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egg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oocyte,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travels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down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fallopian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tube.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egg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enveloped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extracellular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matrix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zona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pellucida.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Sperm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fertilize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egg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zona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pellucida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(ZP),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prevents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fertilized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egg,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zygote,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adhering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wall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fallopian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tube.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zygote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besides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result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ectopic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pregnancy.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condition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prevents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complete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development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cause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fatal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hemorrhaging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preganant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female.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zygote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moves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through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fallopian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tube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undergoes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several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rounds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division,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process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cleavage.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divisions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produce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inner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mass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(ICM),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become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trophoblast,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surrounds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ICM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interacts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Together,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ICM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trophoblast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successfully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when,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ZP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exits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fallopian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tube,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leaves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ZP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binds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few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surfaces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cannot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always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properties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change,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only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brief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window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humans,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window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includes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days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six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through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after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ovulation.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Just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prior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ovulation,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begins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thicken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expand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response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release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estrogen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ovaries.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moves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through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fallopian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tubes,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proliferates,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changes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shape,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becomes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receptive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produces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hospitable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environment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Signaled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release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progesterone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ovaries,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series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changes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decidualization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occurs.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Decidualization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includes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gathering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white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around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arterioles,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vessels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leading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arteries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capillary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beds.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vasculature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forms,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molecule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stores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energy,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glycogen,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accumulates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expanding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connective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Furthermore,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swells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interstitial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fluid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accumulates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swollen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interstitial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fluid,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vasculature,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nutrients,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provides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hospitable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environment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embryogenesis.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moves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through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realigns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itself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inner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mass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adjacent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wall,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trophoblast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contacts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position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ICM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relation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establishes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head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tail,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dorsal-ventral,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axis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dorsal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side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facing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wall.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first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embryonic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event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dictates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organization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future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body.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Successful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depends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binding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many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molecules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thought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dictate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this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interaction,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but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integrins,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type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cell-adhesion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molecule,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identified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primary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component.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Integrins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extend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lining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surface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blastula.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Integrins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many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functions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nearly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types,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have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role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adhesion,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conveying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information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about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extracellular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environment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nucleus,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modulating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local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immune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response.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Immediately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following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integrins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help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regulate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gene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expression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Doctors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also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look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high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concentrations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integrins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look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receptive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assisted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reproductive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therapy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(ART),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lack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concentrations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identify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women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who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infertile.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Despite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contact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between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fail.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many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potential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causes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errors.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not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occur,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breaks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down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sheds,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along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part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menstrual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cycle.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However,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implant,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endometrium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remains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together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becomes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portion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placenta,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deciduas.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lang w:val="en-US"/>
        </w:rPr>
        <w:t>Once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adheres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wall,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trophoblast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secretes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enzymes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digest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extracellular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matrix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trophoblast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begin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intrude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between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endometrial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attaching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surface.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Further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secretions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enzymes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allow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blastocyst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bury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itself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deeply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among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stromal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structural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components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uterus.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Subsequently,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trophoblast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cells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continue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divide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two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extraembryonic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membranes.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membranes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portion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placenta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called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chorion.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Additional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enzymes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signaling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factors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secreted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these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membranes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remodel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uterine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vasculature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bathe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embryonic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vessels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Chorionic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villi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are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folds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tissue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vessels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that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connect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pools.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diffuses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villi,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travels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through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fetus's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vasculature.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Similarly,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diffuses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villi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vasculature.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Normally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maternal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blood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not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mix,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but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relationship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between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two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circulatory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systems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enables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transfer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of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nutrients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oxygen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embryo,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carbon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dioxide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urea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from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fetus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the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mother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1111</Words>
  <Pages>0</Pages>
  <Characters>6141</Characters>
  <Application>WPS Office</Application>
  <DocSecurity>0</DocSecurity>
  <Paragraphs>33</Paragraphs>
  <ScaleCrop>false</ScaleCrop>
  <LinksUpToDate>false</LinksUpToDate>
  <CharactersWithSpaces>7232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2020-05-21T06:16:03Z</dcterms:created>
  <dc:creator>SM-A207F</dc:creator>
  <lastModifiedBy>SM-A207F</lastModifiedBy>
  <dcterms:modified xsi:type="dcterms:W3CDTF">2020-05-21T06:16:37Z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