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56" w:rsidRDefault="00AA2388">
      <w:proofErr w:type="gramStart"/>
      <w:r>
        <w:t>Biochemistry  assignment</w:t>
      </w:r>
      <w:proofErr w:type="gramEnd"/>
      <w:r>
        <w:t xml:space="preserve"> </w:t>
      </w:r>
    </w:p>
    <w:p w:rsidR="006F241D" w:rsidRDefault="006F241D">
      <w:r>
        <w:t xml:space="preserve">Toxicity and deficiency manifestation of </w:t>
      </w:r>
    </w:p>
    <w:p w:rsidR="006F241D" w:rsidRPr="00B76A2A" w:rsidRDefault="006F241D">
      <w:pPr>
        <w:rPr>
          <w:b/>
        </w:rPr>
      </w:pPr>
      <w:r w:rsidRPr="00B76A2A">
        <w:rPr>
          <w:b/>
        </w:rPr>
        <w:t xml:space="preserve">Potassium </w:t>
      </w:r>
    </w:p>
    <w:p w:rsidR="00AA2388" w:rsidRDefault="006F241D">
      <w:pPr>
        <w:rPr>
          <w:rStyle w:val="e24kjd"/>
        </w:rPr>
      </w:pPr>
      <w:r>
        <w:rPr>
          <w:rStyle w:val="e24kjd"/>
        </w:rPr>
        <w:t xml:space="preserve">This is called </w:t>
      </w:r>
      <w:proofErr w:type="spellStart"/>
      <w:r>
        <w:rPr>
          <w:rStyle w:val="e24kjd"/>
        </w:rPr>
        <w:t>hyperkalemia</w:t>
      </w:r>
      <w:proofErr w:type="spellEnd"/>
      <w:r>
        <w:rPr>
          <w:rStyle w:val="e24kjd"/>
        </w:rPr>
        <w:t xml:space="preserve">, or high </w:t>
      </w:r>
      <w:r>
        <w:rPr>
          <w:rStyle w:val="e24kjd"/>
          <w:b/>
          <w:bCs/>
        </w:rPr>
        <w:t>potassium</w:t>
      </w:r>
      <w:r>
        <w:rPr>
          <w:rStyle w:val="e24kjd"/>
        </w:rPr>
        <w:t xml:space="preserve">. According to the Mayo Clinic, a normal </w:t>
      </w:r>
      <w:r>
        <w:rPr>
          <w:rStyle w:val="e24kjd"/>
          <w:b/>
          <w:bCs/>
        </w:rPr>
        <w:t>range of potassium</w:t>
      </w:r>
      <w:r>
        <w:rPr>
          <w:rStyle w:val="e24kjd"/>
        </w:rPr>
        <w:t xml:space="preserve"> is between 3.6 and 5.2 </w:t>
      </w:r>
      <w:proofErr w:type="spellStart"/>
      <w:r>
        <w:rPr>
          <w:rStyle w:val="e24kjd"/>
        </w:rPr>
        <w:t>millimoles</w:t>
      </w:r>
      <w:proofErr w:type="spellEnd"/>
      <w:r>
        <w:rPr>
          <w:rStyle w:val="e24kjd"/>
        </w:rPr>
        <w:t xml:space="preserve"> per </w:t>
      </w:r>
      <w:proofErr w:type="spellStart"/>
      <w:r>
        <w:rPr>
          <w:rStyle w:val="e24kjd"/>
        </w:rPr>
        <w:t>liter</w:t>
      </w:r>
      <w:proofErr w:type="spellEnd"/>
      <w:r>
        <w:rPr>
          <w:rStyle w:val="e24kjd"/>
        </w:rPr>
        <w:t xml:space="preserve"> (</w:t>
      </w:r>
      <w:proofErr w:type="spellStart"/>
      <w:r>
        <w:rPr>
          <w:rStyle w:val="e24kjd"/>
        </w:rPr>
        <w:t>mmol</w:t>
      </w:r>
      <w:proofErr w:type="spellEnd"/>
      <w:r>
        <w:rPr>
          <w:rStyle w:val="e24kjd"/>
        </w:rPr>
        <w:t xml:space="preserve">/L) of blood. A </w:t>
      </w:r>
      <w:r>
        <w:rPr>
          <w:rStyle w:val="e24kjd"/>
          <w:b/>
          <w:bCs/>
        </w:rPr>
        <w:t>potassium</w:t>
      </w:r>
      <w:r>
        <w:rPr>
          <w:rStyle w:val="e24kjd"/>
        </w:rPr>
        <w:t xml:space="preserve"> level higher </w:t>
      </w:r>
      <w:proofErr w:type="gramStart"/>
      <w:r>
        <w:rPr>
          <w:rStyle w:val="e24kjd"/>
        </w:rPr>
        <w:t xml:space="preserve">than 5.5 </w:t>
      </w:r>
      <w:proofErr w:type="spellStart"/>
      <w:r>
        <w:rPr>
          <w:rStyle w:val="e24kjd"/>
        </w:rPr>
        <w:t>mmol</w:t>
      </w:r>
      <w:proofErr w:type="spellEnd"/>
      <w:r>
        <w:rPr>
          <w:rStyle w:val="e24kjd"/>
        </w:rPr>
        <w:t>/L</w:t>
      </w:r>
      <w:proofErr w:type="gramEnd"/>
      <w:r>
        <w:rPr>
          <w:rStyle w:val="e24kjd"/>
        </w:rPr>
        <w:t xml:space="preserve"> is critically high, and a </w:t>
      </w:r>
      <w:r>
        <w:rPr>
          <w:rStyle w:val="e24kjd"/>
          <w:b/>
          <w:bCs/>
        </w:rPr>
        <w:t>potassium</w:t>
      </w:r>
      <w:r>
        <w:rPr>
          <w:rStyle w:val="e24kjd"/>
        </w:rPr>
        <w:t xml:space="preserve"> level over 6 </w:t>
      </w:r>
      <w:proofErr w:type="spellStart"/>
      <w:r>
        <w:rPr>
          <w:rStyle w:val="e24kjd"/>
        </w:rPr>
        <w:t>mmol</w:t>
      </w:r>
      <w:proofErr w:type="spellEnd"/>
      <w:r>
        <w:rPr>
          <w:rStyle w:val="e24kjd"/>
        </w:rPr>
        <w:t>/L can be life-threatening.</w:t>
      </w:r>
    </w:p>
    <w:p w:rsidR="006F241D" w:rsidRPr="00B76A2A" w:rsidRDefault="006F241D">
      <w:pPr>
        <w:rPr>
          <w:rStyle w:val="e24kjd"/>
          <w:b/>
        </w:rPr>
      </w:pPr>
      <w:r w:rsidRPr="00B76A2A">
        <w:rPr>
          <w:rStyle w:val="e24kjd"/>
          <w:b/>
        </w:rPr>
        <w:t xml:space="preserve">Calcium </w:t>
      </w:r>
    </w:p>
    <w:p w:rsidR="006F241D" w:rsidRPr="006F241D" w:rsidRDefault="006F241D" w:rsidP="006F241D">
      <w:pPr>
        <w:spacing w:before="100" w:beforeAutospacing="1" w:after="100" w:afterAutospacing="1" w:line="240" w:lineRule="auto"/>
        <w:rPr>
          <w:rFonts w:ascii="Times New Roman" w:eastAsia="Times New Roman" w:hAnsi="Times New Roman" w:cs="Times New Roman"/>
          <w:sz w:val="24"/>
          <w:szCs w:val="24"/>
          <w:lang w:eastAsia="en-GB"/>
        </w:rPr>
      </w:pPr>
      <w:r w:rsidRPr="006F241D">
        <w:rPr>
          <w:rFonts w:ascii="Times New Roman" w:eastAsia="Times New Roman" w:hAnsi="Times New Roman" w:cs="Times New Roman"/>
          <w:sz w:val="24"/>
          <w:szCs w:val="24"/>
          <w:lang w:eastAsia="en-GB"/>
        </w:rPr>
        <w:t xml:space="preserve">Because of the large amount of calcium in bones, deficiency is rare. </w:t>
      </w:r>
      <w:proofErr w:type="spellStart"/>
      <w:r w:rsidRPr="006F241D">
        <w:rPr>
          <w:rFonts w:ascii="Times New Roman" w:eastAsia="Times New Roman" w:hAnsi="Times New Roman" w:cs="Times New Roman"/>
          <w:b/>
          <w:bCs/>
          <w:sz w:val="24"/>
          <w:szCs w:val="24"/>
          <w:lang w:eastAsia="en-GB"/>
        </w:rPr>
        <w:t>Hypocalcemia</w:t>
      </w:r>
      <w:proofErr w:type="spellEnd"/>
      <w:r w:rsidRPr="006F241D">
        <w:rPr>
          <w:rFonts w:ascii="Times New Roman" w:eastAsia="Times New Roman" w:hAnsi="Times New Roman" w:cs="Times New Roman"/>
          <w:sz w:val="24"/>
          <w:szCs w:val="24"/>
          <w:lang w:eastAsia="en-GB"/>
        </w:rPr>
        <w:t xml:space="preserve"> (low serum calcium levels in blood) can result in </w:t>
      </w:r>
      <w:proofErr w:type="spellStart"/>
      <w:r w:rsidRPr="006F241D">
        <w:rPr>
          <w:rFonts w:ascii="Times New Roman" w:eastAsia="Times New Roman" w:hAnsi="Times New Roman" w:cs="Times New Roman"/>
          <w:sz w:val="24"/>
          <w:szCs w:val="24"/>
          <w:lang w:eastAsia="en-GB"/>
        </w:rPr>
        <w:t>tetany</w:t>
      </w:r>
      <w:proofErr w:type="spellEnd"/>
      <w:r w:rsidRPr="006F241D">
        <w:rPr>
          <w:rFonts w:ascii="Times New Roman" w:eastAsia="Times New Roman" w:hAnsi="Times New Roman" w:cs="Times New Roman"/>
          <w:sz w:val="24"/>
          <w:szCs w:val="24"/>
          <w:lang w:eastAsia="en-GB"/>
        </w:rPr>
        <w:t xml:space="preserve"> (involuntary muscle contractions). In addition, calcium deficiency in children can lead to </w:t>
      </w:r>
      <w:hyperlink r:id="rId5" w:tooltip="12.1F: Vitamin D Deficiency, Toxicity &amp; Insufficiency" w:history="1">
        <w:r w:rsidRPr="006F241D">
          <w:rPr>
            <w:rFonts w:ascii="Times New Roman" w:eastAsia="Times New Roman" w:hAnsi="Times New Roman" w:cs="Times New Roman"/>
            <w:color w:val="0000FF"/>
            <w:sz w:val="24"/>
            <w:szCs w:val="24"/>
            <w:u w:val="single"/>
            <w:lang w:eastAsia="en-GB"/>
          </w:rPr>
          <w:t>rickets</w:t>
        </w:r>
      </w:hyperlink>
      <w:r w:rsidRPr="006F241D">
        <w:rPr>
          <w:rFonts w:ascii="Times New Roman" w:eastAsia="Times New Roman" w:hAnsi="Times New Roman" w:cs="Times New Roman"/>
          <w:sz w:val="24"/>
          <w:szCs w:val="24"/>
          <w:lang w:eastAsia="en-GB"/>
        </w:rPr>
        <w:t xml:space="preserve">, which is a vitamin D deficiency. While not a deficiency, low calcium intake can lead to decreased bone mineral density and the conditions </w:t>
      </w:r>
      <w:proofErr w:type="spellStart"/>
      <w:r w:rsidRPr="006F241D">
        <w:rPr>
          <w:rFonts w:ascii="Times New Roman" w:eastAsia="Times New Roman" w:hAnsi="Times New Roman" w:cs="Times New Roman"/>
          <w:b/>
          <w:bCs/>
          <w:sz w:val="24"/>
          <w:szCs w:val="24"/>
          <w:lang w:eastAsia="en-GB"/>
        </w:rPr>
        <w:t>osteopenia</w:t>
      </w:r>
      <w:proofErr w:type="spellEnd"/>
      <w:r w:rsidRPr="006F241D">
        <w:rPr>
          <w:rFonts w:ascii="Times New Roman" w:eastAsia="Times New Roman" w:hAnsi="Times New Roman" w:cs="Times New Roman"/>
          <w:sz w:val="24"/>
          <w:szCs w:val="24"/>
          <w:lang w:eastAsia="en-GB"/>
        </w:rPr>
        <w:t xml:space="preserve"> and </w:t>
      </w:r>
      <w:r w:rsidRPr="006F241D">
        <w:rPr>
          <w:rFonts w:ascii="Times New Roman" w:eastAsia="Times New Roman" w:hAnsi="Times New Roman" w:cs="Times New Roman"/>
          <w:b/>
          <w:bCs/>
          <w:sz w:val="24"/>
          <w:szCs w:val="24"/>
          <w:lang w:eastAsia="en-GB"/>
        </w:rPr>
        <w:t>osteoporosis</w:t>
      </w:r>
      <w:r w:rsidRPr="006F241D">
        <w:rPr>
          <w:rFonts w:ascii="Times New Roman" w:eastAsia="Times New Roman" w:hAnsi="Times New Roman" w:cs="Times New Roman"/>
          <w:sz w:val="24"/>
          <w:szCs w:val="24"/>
          <w:lang w:eastAsia="en-GB"/>
        </w:rPr>
        <w:t>. How these differ from osteomalacia and normal bone is illustrated and described below. There are two different bone components that we will consider to understand what is happening in the bone. Matrix is the scaffolding onto which mineral is deposited. Mineral is at it sounds, the mineral that is deposited on the matrix.</w:t>
      </w:r>
    </w:p>
    <w:p w:rsidR="006F241D" w:rsidRPr="006F241D" w:rsidRDefault="006F241D" w:rsidP="006F24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F241D">
        <w:rPr>
          <w:rFonts w:ascii="Times New Roman" w:eastAsia="Times New Roman" w:hAnsi="Times New Roman" w:cs="Times New Roman"/>
          <w:b/>
          <w:bCs/>
          <w:sz w:val="24"/>
          <w:szCs w:val="24"/>
          <w:lang w:eastAsia="en-GB"/>
        </w:rPr>
        <w:t>Osteomalacia</w:t>
      </w:r>
      <w:r w:rsidRPr="006F241D">
        <w:rPr>
          <w:rFonts w:ascii="Times New Roman" w:eastAsia="Times New Roman" w:hAnsi="Times New Roman" w:cs="Times New Roman"/>
          <w:sz w:val="24"/>
          <w:szCs w:val="24"/>
          <w:lang w:eastAsia="en-GB"/>
        </w:rPr>
        <w:t xml:space="preserve"> - Bone mass is normal, but the matrix to mineral ratio is increased, meaning there is less mineral in bone.</w:t>
      </w:r>
    </w:p>
    <w:p w:rsidR="006F241D" w:rsidRPr="006F241D" w:rsidRDefault="006F241D" w:rsidP="006F24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F241D">
        <w:rPr>
          <w:rFonts w:ascii="Times New Roman" w:eastAsia="Times New Roman" w:hAnsi="Times New Roman" w:cs="Times New Roman"/>
          <w:b/>
          <w:bCs/>
          <w:sz w:val="24"/>
          <w:szCs w:val="24"/>
          <w:lang w:eastAsia="en-GB"/>
        </w:rPr>
        <w:t>Osteopenia</w:t>
      </w:r>
      <w:proofErr w:type="spellEnd"/>
      <w:r w:rsidRPr="006F241D">
        <w:rPr>
          <w:rFonts w:ascii="Times New Roman" w:eastAsia="Times New Roman" w:hAnsi="Times New Roman" w:cs="Times New Roman"/>
          <w:sz w:val="24"/>
          <w:szCs w:val="24"/>
          <w:lang w:eastAsia="en-GB"/>
        </w:rPr>
        <w:t xml:space="preserve"> - Bone mass is decreased, but the matrix to mineral ratio is not altered from normal bone. This condition is intermediate in between normal and osteoporosis.</w:t>
      </w:r>
    </w:p>
    <w:p w:rsidR="00DE6DD5" w:rsidRDefault="006F241D" w:rsidP="00DE6DD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F241D">
        <w:rPr>
          <w:rFonts w:ascii="Times New Roman" w:eastAsia="Times New Roman" w:hAnsi="Times New Roman" w:cs="Times New Roman"/>
          <w:b/>
          <w:bCs/>
          <w:sz w:val="24"/>
          <w:szCs w:val="24"/>
          <w:lang w:eastAsia="en-GB"/>
        </w:rPr>
        <w:t>Osteoporosis</w:t>
      </w:r>
      <w:r w:rsidRPr="006F241D">
        <w:rPr>
          <w:rFonts w:ascii="Times New Roman" w:eastAsia="Times New Roman" w:hAnsi="Times New Roman" w:cs="Times New Roman"/>
          <w:sz w:val="24"/>
          <w:szCs w:val="24"/>
          <w:lang w:eastAsia="en-GB"/>
        </w:rPr>
        <w:t xml:space="preserve"> - Bone mass is further decreased from </w:t>
      </w:r>
      <w:proofErr w:type="spellStart"/>
      <w:r w:rsidRPr="006F241D">
        <w:rPr>
          <w:rFonts w:ascii="Times New Roman" w:eastAsia="Times New Roman" w:hAnsi="Times New Roman" w:cs="Times New Roman"/>
          <w:sz w:val="24"/>
          <w:szCs w:val="24"/>
          <w:lang w:eastAsia="en-GB"/>
        </w:rPr>
        <w:t>osteopenia</w:t>
      </w:r>
      <w:proofErr w:type="spellEnd"/>
      <w:r w:rsidRPr="006F241D">
        <w:rPr>
          <w:rFonts w:ascii="Times New Roman" w:eastAsia="Times New Roman" w:hAnsi="Times New Roman" w:cs="Times New Roman"/>
          <w:sz w:val="24"/>
          <w:szCs w:val="24"/>
          <w:lang w:eastAsia="en-GB"/>
        </w:rPr>
        <w:t>, but the matrix to mineral ratio is not altered from normal bone.</w:t>
      </w:r>
    </w:p>
    <w:p w:rsidR="00DE6DD5" w:rsidRPr="00B76A2A" w:rsidRDefault="00DE6DD5" w:rsidP="00DE6DD5">
      <w:pPr>
        <w:spacing w:before="100" w:beforeAutospacing="1" w:after="100" w:afterAutospacing="1" w:line="240" w:lineRule="auto"/>
        <w:ind w:left="360"/>
        <w:rPr>
          <w:rFonts w:ascii="Times New Roman" w:eastAsia="Times New Roman" w:hAnsi="Times New Roman" w:cs="Times New Roman"/>
          <w:b/>
          <w:bCs/>
          <w:sz w:val="24"/>
          <w:szCs w:val="24"/>
          <w:lang w:eastAsia="en-GB"/>
        </w:rPr>
      </w:pPr>
      <w:r w:rsidRPr="00B76A2A">
        <w:rPr>
          <w:rFonts w:ascii="Times New Roman" w:eastAsia="Times New Roman" w:hAnsi="Times New Roman" w:cs="Times New Roman"/>
          <w:b/>
          <w:bCs/>
          <w:sz w:val="24"/>
          <w:szCs w:val="24"/>
          <w:lang w:eastAsia="en-GB"/>
        </w:rPr>
        <w:t xml:space="preserve">Magnesium </w:t>
      </w:r>
    </w:p>
    <w:p w:rsidR="00DE6DD5" w:rsidRPr="00DE6DD5" w:rsidRDefault="00DE6DD5" w:rsidP="00DE6DD5">
      <w:pPr>
        <w:spacing w:before="100" w:beforeAutospacing="1" w:after="100" w:afterAutospacing="1" w:line="240" w:lineRule="auto"/>
        <w:rPr>
          <w:rFonts w:ascii="Times New Roman" w:eastAsia="Times New Roman" w:hAnsi="Times New Roman" w:cs="Times New Roman"/>
          <w:sz w:val="24"/>
          <w:szCs w:val="24"/>
          <w:lang w:eastAsia="en-GB"/>
        </w:rPr>
      </w:pPr>
      <w:r w:rsidRPr="00DE6DD5">
        <w:rPr>
          <w:rFonts w:ascii="Times New Roman" w:eastAsia="Times New Roman" w:hAnsi="Times New Roman" w:cs="Times New Roman"/>
          <w:sz w:val="24"/>
          <w:szCs w:val="24"/>
          <w:lang w:eastAsia="en-GB"/>
        </w:rPr>
        <w:t xml:space="preserve">Magnesium is a mineral that is naturally found in your body and in the food you consume daily. It is responsible for many processes within your body that includes, but not limited to, protein synthesis, bone formation, blood pressure regulation, nerve function, and electrical conduction in the heart. However, too much magnesium, whether it’s due to over-consumption or under-excretion, can result in serious health issues for the patient. This activity will cover the causes, as well as the early symptomatic presentation of magnesium toxicity. Additionally, it will highlight the importance of diagnosing and treating magnesium toxicity early on and how a strong </w:t>
      </w:r>
      <w:proofErr w:type="spellStart"/>
      <w:r w:rsidRPr="00DE6DD5">
        <w:rPr>
          <w:rFonts w:ascii="Times New Roman" w:eastAsia="Times New Roman" w:hAnsi="Times New Roman" w:cs="Times New Roman"/>
          <w:sz w:val="24"/>
          <w:szCs w:val="24"/>
          <w:lang w:eastAsia="en-GB"/>
        </w:rPr>
        <w:t>interprofessional</w:t>
      </w:r>
      <w:proofErr w:type="spellEnd"/>
      <w:r w:rsidRPr="00DE6DD5">
        <w:rPr>
          <w:rFonts w:ascii="Times New Roman" w:eastAsia="Times New Roman" w:hAnsi="Times New Roman" w:cs="Times New Roman"/>
          <w:sz w:val="24"/>
          <w:szCs w:val="24"/>
          <w:lang w:eastAsia="en-GB"/>
        </w:rPr>
        <w:t xml:space="preserve"> effort is important to prevent fatal complications.</w:t>
      </w:r>
    </w:p>
    <w:p w:rsidR="00DE6DD5" w:rsidRPr="00DE6DD5" w:rsidRDefault="00DE6DD5" w:rsidP="00DE6DD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roofErr w:type="spellStart"/>
      <w:r w:rsidRPr="00DE6DD5">
        <w:rPr>
          <w:rFonts w:ascii="Times New Roman" w:eastAsia="Times New Roman" w:hAnsi="Times New Roman" w:cs="Times New Roman"/>
          <w:b/>
          <w:bCs/>
          <w:sz w:val="36"/>
          <w:szCs w:val="36"/>
          <w:lang w:eastAsia="en-GB"/>
        </w:rPr>
        <w:t>Etiology</w:t>
      </w:r>
      <w:proofErr w:type="spellEnd"/>
    </w:p>
    <w:p w:rsidR="00DE6DD5" w:rsidRPr="00DE6DD5" w:rsidRDefault="00DE6DD5" w:rsidP="00DE6DD5">
      <w:pPr>
        <w:spacing w:before="100" w:beforeAutospacing="1" w:after="100" w:afterAutospacing="1" w:line="240" w:lineRule="auto"/>
        <w:rPr>
          <w:rFonts w:ascii="Times New Roman" w:eastAsia="Times New Roman" w:hAnsi="Times New Roman" w:cs="Times New Roman"/>
          <w:sz w:val="24"/>
          <w:szCs w:val="24"/>
          <w:lang w:eastAsia="en-GB"/>
        </w:rPr>
      </w:pPr>
      <w:r w:rsidRPr="00DE6DD5">
        <w:rPr>
          <w:rFonts w:ascii="Times New Roman" w:eastAsia="Times New Roman" w:hAnsi="Times New Roman" w:cs="Times New Roman"/>
          <w:sz w:val="24"/>
          <w:szCs w:val="24"/>
          <w:lang w:eastAsia="en-GB"/>
        </w:rPr>
        <w:t xml:space="preserve">While magnesium toxicity is rare in the general population, there is a subset of patients who are at risk of developing this pathology. Magnesium is excreted in the kidneys, and so those with chronic kidney disease are particularly at risk. However, magnesium excretion is only impaired when the </w:t>
      </w:r>
      <w:proofErr w:type="spellStart"/>
      <w:r w:rsidRPr="00DE6DD5">
        <w:rPr>
          <w:rFonts w:ascii="Times New Roman" w:eastAsia="Times New Roman" w:hAnsi="Times New Roman" w:cs="Times New Roman"/>
          <w:sz w:val="24"/>
          <w:szCs w:val="24"/>
          <w:lang w:eastAsia="en-GB"/>
        </w:rPr>
        <w:t>creatinine</w:t>
      </w:r>
      <w:proofErr w:type="spellEnd"/>
      <w:r w:rsidRPr="00DE6DD5">
        <w:rPr>
          <w:rFonts w:ascii="Times New Roman" w:eastAsia="Times New Roman" w:hAnsi="Times New Roman" w:cs="Times New Roman"/>
          <w:sz w:val="24"/>
          <w:szCs w:val="24"/>
          <w:lang w:eastAsia="en-GB"/>
        </w:rPr>
        <w:t xml:space="preserve"> clearance falls below 30 ml/minute. Patients on dialysis can also experience a quick rise in magnesium levels if their treatments are missed. Additionally, the magnesium concentration in cells is much higher than that in plasma. Therefore, patients undergoing cancer treatment, who have high rates of cellular </w:t>
      </w:r>
      <w:proofErr w:type="spellStart"/>
      <w:r w:rsidRPr="00DE6DD5">
        <w:rPr>
          <w:rFonts w:ascii="Times New Roman" w:eastAsia="Times New Roman" w:hAnsi="Times New Roman" w:cs="Times New Roman"/>
          <w:sz w:val="24"/>
          <w:szCs w:val="24"/>
          <w:lang w:eastAsia="en-GB"/>
        </w:rPr>
        <w:t>hemolysis</w:t>
      </w:r>
      <w:proofErr w:type="spellEnd"/>
      <w:r w:rsidRPr="00DE6DD5">
        <w:rPr>
          <w:rFonts w:ascii="Times New Roman" w:eastAsia="Times New Roman" w:hAnsi="Times New Roman" w:cs="Times New Roman"/>
          <w:sz w:val="24"/>
          <w:szCs w:val="24"/>
          <w:lang w:eastAsia="en-GB"/>
        </w:rPr>
        <w:t xml:space="preserve">, are also at risk. Lastly, women who are being treated for preeclampsia are also at risk for magnesium toxicity due to the high dosage needed to prevent seizures. Identifying the causes of magnesium </w:t>
      </w:r>
      <w:r w:rsidRPr="00DE6DD5">
        <w:rPr>
          <w:rFonts w:ascii="Times New Roman" w:eastAsia="Times New Roman" w:hAnsi="Times New Roman" w:cs="Times New Roman"/>
          <w:sz w:val="24"/>
          <w:szCs w:val="24"/>
          <w:lang w:eastAsia="en-GB"/>
        </w:rPr>
        <w:lastRenderedPageBreak/>
        <w:t>toxicity, whether it is through over-absorption or under-secretion, is vital to not only identify patients at risk for magnesium toxicity but also to prevent future toxicities.</w:t>
      </w:r>
    </w:p>
    <w:p w:rsidR="00DE6DD5" w:rsidRPr="00DE6DD5" w:rsidRDefault="00DE6DD5" w:rsidP="00DE6DD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E6DD5">
        <w:rPr>
          <w:rFonts w:ascii="Times New Roman" w:eastAsia="Times New Roman" w:hAnsi="Times New Roman" w:cs="Times New Roman"/>
          <w:b/>
          <w:bCs/>
          <w:sz w:val="36"/>
          <w:szCs w:val="36"/>
          <w:lang w:eastAsia="en-GB"/>
        </w:rPr>
        <w:t>Epidemiology</w:t>
      </w:r>
    </w:p>
    <w:p w:rsidR="00DE6DD5" w:rsidRPr="00DE6DD5" w:rsidRDefault="00DE6DD5" w:rsidP="00DE6DD5">
      <w:pPr>
        <w:spacing w:before="100" w:beforeAutospacing="1" w:after="100" w:afterAutospacing="1" w:line="240" w:lineRule="auto"/>
        <w:rPr>
          <w:rFonts w:ascii="Times New Roman" w:eastAsia="Times New Roman" w:hAnsi="Times New Roman" w:cs="Times New Roman"/>
          <w:sz w:val="24"/>
          <w:szCs w:val="24"/>
          <w:lang w:eastAsia="en-GB"/>
        </w:rPr>
      </w:pPr>
      <w:r w:rsidRPr="00DE6DD5">
        <w:rPr>
          <w:rFonts w:ascii="Times New Roman" w:eastAsia="Times New Roman" w:hAnsi="Times New Roman" w:cs="Times New Roman"/>
          <w:sz w:val="24"/>
          <w:szCs w:val="24"/>
          <w:lang w:eastAsia="en-GB"/>
        </w:rPr>
        <w:t>Magnesium toxicity occurs in both sexes as this condition is indirectly developed due to underlying pathology or excessive exogenous intake. However, women are more likely to develop magnesium toxicity as magnesium is universally used for the treatment of pre-</w:t>
      </w:r>
      <w:proofErr w:type="spellStart"/>
      <w:r w:rsidRPr="00DE6DD5">
        <w:rPr>
          <w:rFonts w:ascii="Times New Roman" w:eastAsia="Times New Roman" w:hAnsi="Times New Roman" w:cs="Times New Roman"/>
          <w:sz w:val="24"/>
          <w:szCs w:val="24"/>
          <w:lang w:eastAsia="en-GB"/>
        </w:rPr>
        <w:t>eclampsia</w:t>
      </w:r>
      <w:proofErr w:type="spellEnd"/>
      <w:r w:rsidRPr="00DE6DD5">
        <w:rPr>
          <w:rFonts w:ascii="Times New Roman" w:eastAsia="Times New Roman" w:hAnsi="Times New Roman" w:cs="Times New Roman"/>
          <w:sz w:val="24"/>
          <w:szCs w:val="24"/>
          <w:lang w:eastAsia="en-GB"/>
        </w:rPr>
        <w:t xml:space="preserve">, which complicates about 3% of pregnancies nationwide. Additionally, magnesium toxicity occurs at a higher rate in the U.S. versus worldwide, likely due to the wider availability of magnesium-containing over-the-counter supplements. The prevalence of </w:t>
      </w:r>
      <w:proofErr w:type="spellStart"/>
      <w:r w:rsidRPr="00DE6DD5">
        <w:rPr>
          <w:rFonts w:ascii="Times New Roman" w:eastAsia="Times New Roman" w:hAnsi="Times New Roman" w:cs="Times New Roman"/>
          <w:sz w:val="24"/>
          <w:szCs w:val="24"/>
          <w:lang w:eastAsia="en-GB"/>
        </w:rPr>
        <w:t>hypermagnesemia</w:t>
      </w:r>
      <w:proofErr w:type="spellEnd"/>
      <w:r w:rsidRPr="00DE6DD5">
        <w:rPr>
          <w:rFonts w:ascii="Times New Roman" w:eastAsia="Times New Roman" w:hAnsi="Times New Roman" w:cs="Times New Roman"/>
          <w:sz w:val="24"/>
          <w:szCs w:val="24"/>
          <w:lang w:eastAsia="en-GB"/>
        </w:rPr>
        <w:t xml:space="preserve"> among hospitalized patients in the U.S. was also found to be 9.3%.</w:t>
      </w:r>
    </w:p>
    <w:p w:rsidR="00DE6DD5" w:rsidRPr="00DE6DD5" w:rsidRDefault="00DE6DD5" w:rsidP="00DE6DD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roofErr w:type="spellStart"/>
      <w:r w:rsidRPr="00DE6DD5">
        <w:rPr>
          <w:rFonts w:ascii="Times New Roman" w:eastAsia="Times New Roman" w:hAnsi="Times New Roman" w:cs="Times New Roman"/>
          <w:b/>
          <w:bCs/>
          <w:sz w:val="36"/>
          <w:szCs w:val="36"/>
          <w:lang w:eastAsia="en-GB"/>
        </w:rPr>
        <w:t>Pathophysiology</w:t>
      </w:r>
      <w:proofErr w:type="spellEnd"/>
    </w:p>
    <w:p w:rsidR="00DE6DD5" w:rsidRPr="00DE6DD5" w:rsidRDefault="00DE6DD5" w:rsidP="00DE6DD5">
      <w:pPr>
        <w:spacing w:before="100" w:beforeAutospacing="1" w:after="100" w:afterAutospacing="1" w:line="240" w:lineRule="auto"/>
        <w:rPr>
          <w:rFonts w:ascii="Times New Roman" w:eastAsia="Times New Roman" w:hAnsi="Times New Roman" w:cs="Times New Roman"/>
          <w:sz w:val="24"/>
          <w:szCs w:val="24"/>
          <w:lang w:eastAsia="en-GB"/>
        </w:rPr>
      </w:pPr>
      <w:r w:rsidRPr="00DE6DD5">
        <w:rPr>
          <w:rFonts w:ascii="Times New Roman" w:eastAsia="Times New Roman" w:hAnsi="Times New Roman" w:cs="Times New Roman"/>
          <w:sz w:val="24"/>
          <w:szCs w:val="24"/>
          <w:lang w:eastAsia="en-GB"/>
        </w:rPr>
        <w:t xml:space="preserve">Magnesium serves as a co-factor for over 300 biochemical reactions within the body. The importance of magnesium is found in protein synthesis, nerve and muscle functioning, bone growth, regulation of blood pressure and glucose, and normal cardiac rhythm. An average adult has approximately 22 to 26 grams of magnesium. 60% of total levels </w:t>
      </w:r>
      <w:proofErr w:type="gramStart"/>
      <w:r w:rsidRPr="00DE6DD5">
        <w:rPr>
          <w:rFonts w:ascii="Times New Roman" w:eastAsia="Times New Roman" w:hAnsi="Times New Roman" w:cs="Times New Roman"/>
          <w:sz w:val="24"/>
          <w:szCs w:val="24"/>
          <w:lang w:eastAsia="en-GB"/>
        </w:rPr>
        <w:t>is</w:t>
      </w:r>
      <w:proofErr w:type="gramEnd"/>
      <w:r w:rsidRPr="00DE6DD5">
        <w:rPr>
          <w:rFonts w:ascii="Times New Roman" w:eastAsia="Times New Roman" w:hAnsi="Times New Roman" w:cs="Times New Roman"/>
          <w:sz w:val="24"/>
          <w:szCs w:val="24"/>
          <w:lang w:eastAsia="en-GB"/>
        </w:rPr>
        <w:t xml:space="preserve"> stored in bone, 39% is stored </w:t>
      </w:r>
      <w:proofErr w:type="spellStart"/>
      <w:r w:rsidRPr="00DE6DD5">
        <w:rPr>
          <w:rFonts w:ascii="Times New Roman" w:eastAsia="Times New Roman" w:hAnsi="Times New Roman" w:cs="Times New Roman"/>
          <w:sz w:val="24"/>
          <w:szCs w:val="24"/>
          <w:lang w:eastAsia="en-GB"/>
        </w:rPr>
        <w:t>intracellularly</w:t>
      </w:r>
      <w:proofErr w:type="spellEnd"/>
      <w:r w:rsidRPr="00DE6DD5">
        <w:rPr>
          <w:rFonts w:ascii="Times New Roman" w:eastAsia="Times New Roman" w:hAnsi="Times New Roman" w:cs="Times New Roman"/>
          <w:sz w:val="24"/>
          <w:szCs w:val="24"/>
          <w:lang w:eastAsia="en-GB"/>
        </w:rPr>
        <w:t xml:space="preserve">, and only 1% is found in its free or ionized active form in blood vessels. Magnesium is also involved in sodium, potassium, and calcium channels. The homeostasis of magnesium is dependent on kidney and small bowel function, as well as storage in bone and cells. When these processes are affected, whether it is due to under-excretion by the kidneys, over-absorbance by the small bowel, or displacement of stored magnesium into the serum, </w:t>
      </w:r>
      <w:proofErr w:type="spellStart"/>
      <w:r w:rsidRPr="00DE6DD5">
        <w:rPr>
          <w:rFonts w:ascii="Times New Roman" w:eastAsia="Times New Roman" w:hAnsi="Times New Roman" w:cs="Times New Roman"/>
          <w:sz w:val="24"/>
          <w:szCs w:val="24"/>
          <w:lang w:eastAsia="en-GB"/>
        </w:rPr>
        <w:t>hypermagnesemia</w:t>
      </w:r>
      <w:proofErr w:type="spellEnd"/>
      <w:r w:rsidRPr="00DE6DD5">
        <w:rPr>
          <w:rFonts w:ascii="Times New Roman" w:eastAsia="Times New Roman" w:hAnsi="Times New Roman" w:cs="Times New Roman"/>
          <w:sz w:val="24"/>
          <w:szCs w:val="24"/>
          <w:lang w:eastAsia="en-GB"/>
        </w:rPr>
        <w:t xml:space="preserve"> occurs and leads to magnesium toxicity. The most common findings of early-onset toxicity are </w:t>
      </w:r>
      <w:proofErr w:type="spellStart"/>
      <w:r w:rsidRPr="00DE6DD5">
        <w:rPr>
          <w:rFonts w:ascii="Times New Roman" w:eastAsia="Times New Roman" w:hAnsi="Times New Roman" w:cs="Times New Roman"/>
          <w:sz w:val="24"/>
          <w:szCs w:val="24"/>
          <w:lang w:eastAsia="en-GB"/>
        </w:rPr>
        <w:t>diarrhea</w:t>
      </w:r>
      <w:proofErr w:type="spellEnd"/>
      <w:r w:rsidRPr="00DE6DD5">
        <w:rPr>
          <w:rFonts w:ascii="Times New Roman" w:eastAsia="Times New Roman" w:hAnsi="Times New Roman" w:cs="Times New Roman"/>
          <w:sz w:val="24"/>
          <w:szCs w:val="24"/>
          <w:lang w:eastAsia="en-GB"/>
        </w:rPr>
        <w:t>, nausea and vomiting, muscle weakness, and low blood pressure. However, as levels continue to rise, patients experience loss of deep tendon reflexes, sinoatrial (SA) or atrioventricular (AV) node blocks, respiratory paralysis, and eventually cardiac arrest</w:t>
      </w:r>
    </w:p>
    <w:p w:rsidR="00DE6DD5" w:rsidRPr="00DE6DD5" w:rsidRDefault="00DE6DD5" w:rsidP="00DE6DD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roofErr w:type="spellStart"/>
      <w:r w:rsidRPr="00DE6DD5">
        <w:rPr>
          <w:rFonts w:ascii="Times New Roman" w:eastAsia="Times New Roman" w:hAnsi="Times New Roman" w:cs="Times New Roman"/>
          <w:b/>
          <w:bCs/>
          <w:sz w:val="36"/>
          <w:szCs w:val="36"/>
          <w:lang w:eastAsia="en-GB"/>
        </w:rPr>
        <w:t>Toxicokinetics</w:t>
      </w:r>
      <w:proofErr w:type="spellEnd"/>
    </w:p>
    <w:p w:rsidR="00DE6DD5" w:rsidRPr="00DE6DD5" w:rsidRDefault="00DE6DD5" w:rsidP="00DE6DD5">
      <w:pPr>
        <w:spacing w:before="100" w:beforeAutospacing="1" w:after="100" w:afterAutospacing="1" w:line="240" w:lineRule="auto"/>
        <w:rPr>
          <w:rFonts w:ascii="Times New Roman" w:eastAsia="Times New Roman" w:hAnsi="Times New Roman" w:cs="Times New Roman"/>
          <w:sz w:val="24"/>
          <w:szCs w:val="24"/>
          <w:lang w:eastAsia="en-GB"/>
        </w:rPr>
      </w:pPr>
      <w:r w:rsidRPr="00DE6DD5">
        <w:rPr>
          <w:rFonts w:ascii="Times New Roman" w:eastAsia="Times New Roman" w:hAnsi="Times New Roman" w:cs="Times New Roman"/>
          <w:sz w:val="24"/>
          <w:szCs w:val="24"/>
          <w:lang w:eastAsia="en-GB"/>
        </w:rPr>
        <w:t>The toxic effects of magnesium are inherently linked to the levels (</w:t>
      </w:r>
      <w:proofErr w:type="spellStart"/>
      <w:r w:rsidRPr="00DE6DD5">
        <w:rPr>
          <w:rFonts w:ascii="Times New Roman" w:eastAsia="Times New Roman" w:hAnsi="Times New Roman" w:cs="Times New Roman"/>
          <w:sz w:val="24"/>
          <w:szCs w:val="24"/>
          <w:lang w:eastAsia="en-GB"/>
        </w:rPr>
        <w:t>mEq</w:t>
      </w:r>
      <w:proofErr w:type="spellEnd"/>
      <w:r w:rsidRPr="00DE6DD5">
        <w:rPr>
          <w:rFonts w:ascii="Times New Roman" w:eastAsia="Times New Roman" w:hAnsi="Times New Roman" w:cs="Times New Roman"/>
          <w:sz w:val="24"/>
          <w:szCs w:val="24"/>
          <w:lang w:eastAsia="en-GB"/>
        </w:rPr>
        <w:t>/</w:t>
      </w:r>
      <w:proofErr w:type="spellStart"/>
      <w:r w:rsidRPr="00DE6DD5">
        <w:rPr>
          <w:rFonts w:ascii="Times New Roman" w:eastAsia="Times New Roman" w:hAnsi="Times New Roman" w:cs="Times New Roman"/>
          <w:sz w:val="24"/>
          <w:szCs w:val="24"/>
          <w:lang w:eastAsia="en-GB"/>
        </w:rPr>
        <w:t>liters</w:t>
      </w:r>
      <w:proofErr w:type="spellEnd"/>
      <w:r w:rsidRPr="00DE6DD5">
        <w:rPr>
          <w:rFonts w:ascii="Times New Roman" w:eastAsia="Times New Roman" w:hAnsi="Times New Roman" w:cs="Times New Roman"/>
          <w:sz w:val="24"/>
          <w:szCs w:val="24"/>
          <w:lang w:eastAsia="en-GB"/>
        </w:rPr>
        <w:t xml:space="preserve">) found in the serum. As the levels of magnesium rise, different symptoms start to manifest, and the fatality of those symptoms is proportional to the levels of magnesium found. Starting at 5 to 10 </w:t>
      </w:r>
      <w:proofErr w:type="spellStart"/>
      <w:r w:rsidRPr="00DE6DD5">
        <w:rPr>
          <w:rFonts w:ascii="Times New Roman" w:eastAsia="Times New Roman" w:hAnsi="Times New Roman" w:cs="Times New Roman"/>
          <w:sz w:val="24"/>
          <w:szCs w:val="24"/>
          <w:lang w:eastAsia="en-GB"/>
        </w:rPr>
        <w:t>mEq</w:t>
      </w:r>
      <w:proofErr w:type="spellEnd"/>
      <w:r w:rsidRPr="00DE6DD5">
        <w:rPr>
          <w:rFonts w:ascii="Times New Roman" w:eastAsia="Times New Roman" w:hAnsi="Times New Roman" w:cs="Times New Roman"/>
          <w:sz w:val="24"/>
          <w:szCs w:val="24"/>
          <w:lang w:eastAsia="en-GB"/>
        </w:rPr>
        <w:t xml:space="preserve">/L, patients will begin to develop ECG changes (prolonged PR interval, widened QRS). </w:t>
      </w:r>
      <w:proofErr w:type="gramStart"/>
      <w:r w:rsidRPr="00DE6DD5">
        <w:rPr>
          <w:rFonts w:ascii="Times New Roman" w:eastAsia="Times New Roman" w:hAnsi="Times New Roman" w:cs="Times New Roman"/>
          <w:sz w:val="24"/>
          <w:szCs w:val="24"/>
          <w:lang w:eastAsia="en-GB"/>
        </w:rPr>
        <w:t xml:space="preserve">At 10 </w:t>
      </w:r>
      <w:proofErr w:type="spellStart"/>
      <w:r w:rsidRPr="00DE6DD5">
        <w:rPr>
          <w:rFonts w:ascii="Times New Roman" w:eastAsia="Times New Roman" w:hAnsi="Times New Roman" w:cs="Times New Roman"/>
          <w:sz w:val="24"/>
          <w:szCs w:val="24"/>
          <w:lang w:eastAsia="en-GB"/>
        </w:rPr>
        <w:t>mEq</w:t>
      </w:r>
      <w:proofErr w:type="spellEnd"/>
      <w:r w:rsidRPr="00DE6DD5">
        <w:rPr>
          <w:rFonts w:ascii="Times New Roman" w:eastAsia="Times New Roman" w:hAnsi="Times New Roman" w:cs="Times New Roman"/>
          <w:sz w:val="24"/>
          <w:szCs w:val="24"/>
          <w:lang w:eastAsia="en-GB"/>
        </w:rPr>
        <w:t>/L,</w:t>
      </w:r>
      <w:proofErr w:type="gramEnd"/>
      <w:r w:rsidRPr="00DE6DD5">
        <w:rPr>
          <w:rFonts w:ascii="Times New Roman" w:eastAsia="Times New Roman" w:hAnsi="Times New Roman" w:cs="Times New Roman"/>
          <w:sz w:val="24"/>
          <w:szCs w:val="24"/>
          <w:lang w:eastAsia="en-GB"/>
        </w:rPr>
        <w:t xml:space="preserve"> there will be a loss of deep tendon reflexes and muscle weakness. At 15 </w:t>
      </w:r>
      <w:proofErr w:type="spellStart"/>
      <w:r w:rsidRPr="00DE6DD5">
        <w:rPr>
          <w:rFonts w:ascii="Times New Roman" w:eastAsia="Times New Roman" w:hAnsi="Times New Roman" w:cs="Times New Roman"/>
          <w:sz w:val="24"/>
          <w:szCs w:val="24"/>
          <w:lang w:eastAsia="en-GB"/>
        </w:rPr>
        <w:t>mEq</w:t>
      </w:r>
      <w:proofErr w:type="spellEnd"/>
      <w:r w:rsidRPr="00DE6DD5">
        <w:rPr>
          <w:rFonts w:ascii="Times New Roman" w:eastAsia="Times New Roman" w:hAnsi="Times New Roman" w:cs="Times New Roman"/>
          <w:sz w:val="24"/>
          <w:szCs w:val="24"/>
          <w:lang w:eastAsia="en-GB"/>
        </w:rPr>
        <w:t xml:space="preserve">/L, signs of abnormal conductivity surface as SA/AV node block. Additionally, patients begin to experience respiratory paralysis. </w:t>
      </w:r>
      <w:proofErr w:type="gramStart"/>
      <w:r w:rsidRPr="00DE6DD5">
        <w:rPr>
          <w:rFonts w:ascii="Times New Roman" w:eastAsia="Times New Roman" w:hAnsi="Times New Roman" w:cs="Times New Roman"/>
          <w:sz w:val="24"/>
          <w:szCs w:val="24"/>
          <w:lang w:eastAsia="en-GB"/>
        </w:rPr>
        <w:t xml:space="preserve">At 20 </w:t>
      </w:r>
      <w:proofErr w:type="spellStart"/>
      <w:r w:rsidRPr="00DE6DD5">
        <w:rPr>
          <w:rFonts w:ascii="Times New Roman" w:eastAsia="Times New Roman" w:hAnsi="Times New Roman" w:cs="Times New Roman"/>
          <w:sz w:val="24"/>
          <w:szCs w:val="24"/>
          <w:lang w:eastAsia="en-GB"/>
        </w:rPr>
        <w:t>mEq</w:t>
      </w:r>
      <w:proofErr w:type="spellEnd"/>
      <w:r w:rsidRPr="00DE6DD5">
        <w:rPr>
          <w:rFonts w:ascii="Times New Roman" w:eastAsia="Times New Roman" w:hAnsi="Times New Roman" w:cs="Times New Roman"/>
          <w:sz w:val="24"/>
          <w:szCs w:val="24"/>
          <w:lang w:eastAsia="en-GB"/>
        </w:rPr>
        <w:t>/L</w:t>
      </w:r>
      <w:proofErr w:type="gramEnd"/>
      <w:r w:rsidRPr="00DE6DD5">
        <w:rPr>
          <w:rFonts w:ascii="Times New Roman" w:eastAsia="Times New Roman" w:hAnsi="Times New Roman" w:cs="Times New Roman"/>
          <w:sz w:val="24"/>
          <w:szCs w:val="24"/>
          <w:lang w:eastAsia="en-GB"/>
        </w:rPr>
        <w:t xml:space="preserve"> or higher, the patient is likely to experience cardiac arrest.</w:t>
      </w:r>
    </w:p>
    <w:p w:rsidR="00DE6DD5" w:rsidRPr="00DE6DD5" w:rsidRDefault="00DE6DD5" w:rsidP="00DE6DD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E6DD5">
        <w:rPr>
          <w:rFonts w:ascii="Times New Roman" w:eastAsia="Times New Roman" w:hAnsi="Times New Roman" w:cs="Times New Roman"/>
          <w:b/>
          <w:bCs/>
          <w:sz w:val="36"/>
          <w:szCs w:val="36"/>
          <w:lang w:eastAsia="en-GB"/>
        </w:rPr>
        <w:t>History and Physical</w:t>
      </w:r>
    </w:p>
    <w:p w:rsidR="00DE6DD5" w:rsidRPr="00DE6DD5" w:rsidRDefault="00DE6DD5" w:rsidP="00DE6DD5">
      <w:pPr>
        <w:spacing w:before="100" w:beforeAutospacing="1" w:after="100" w:afterAutospacing="1" w:line="240" w:lineRule="auto"/>
        <w:rPr>
          <w:rFonts w:ascii="Times New Roman" w:eastAsia="Times New Roman" w:hAnsi="Times New Roman" w:cs="Times New Roman"/>
          <w:sz w:val="24"/>
          <w:szCs w:val="24"/>
          <w:lang w:eastAsia="en-GB"/>
        </w:rPr>
      </w:pPr>
      <w:r w:rsidRPr="00DE6DD5">
        <w:rPr>
          <w:rFonts w:ascii="Times New Roman" w:eastAsia="Times New Roman" w:hAnsi="Times New Roman" w:cs="Times New Roman"/>
          <w:sz w:val="24"/>
          <w:szCs w:val="24"/>
          <w:lang w:eastAsia="en-GB"/>
        </w:rPr>
        <w:t xml:space="preserve">Obtaining a thorough history is paramount when diagnosing magnesium toxicity as magnesium levels are not checked in a routine workup, and the symptoms that patients can present with tend to be nonspecific. </w:t>
      </w:r>
      <w:proofErr w:type="gramStart"/>
      <w:r w:rsidRPr="00DE6DD5">
        <w:rPr>
          <w:rFonts w:ascii="Times New Roman" w:eastAsia="Times New Roman" w:hAnsi="Times New Roman" w:cs="Times New Roman"/>
          <w:sz w:val="24"/>
          <w:szCs w:val="24"/>
          <w:lang w:eastAsia="en-GB"/>
        </w:rPr>
        <w:t>As previously discussed, magnesium toxicity results from under-excretion, over-consumption, and storage displacement.</w:t>
      </w:r>
      <w:proofErr w:type="gramEnd"/>
      <w:r w:rsidRPr="00DE6DD5">
        <w:rPr>
          <w:rFonts w:ascii="Times New Roman" w:eastAsia="Times New Roman" w:hAnsi="Times New Roman" w:cs="Times New Roman"/>
          <w:sz w:val="24"/>
          <w:szCs w:val="24"/>
          <w:lang w:eastAsia="en-GB"/>
        </w:rPr>
        <w:t xml:space="preserve"> The history should be focused on their </w:t>
      </w:r>
      <w:proofErr w:type="spellStart"/>
      <w:r w:rsidRPr="00DE6DD5">
        <w:rPr>
          <w:rFonts w:ascii="Times New Roman" w:eastAsia="Times New Roman" w:hAnsi="Times New Roman" w:cs="Times New Roman"/>
          <w:sz w:val="24"/>
          <w:szCs w:val="24"/>
          <w:lang w:eastAsia="en-GB"/>
        </w:rPr>
        <w:t>etiology</w:t>
      </w:r>
      <w:proofErr w:type="spellEnd"/>
      <w:r w:rsidRPr="00DE6DD5">
        <w:rPr>
          <w:rFonts w:ascii="Times New Roman" w:eastAsia="Times New Roman" w:hAnsi="Times New Roman" w:cs="Times New Roman"/>
          <w:sz w:val="24"/>
          <w:szCs w:val="24"/>
          <w:lang w:eastAsia="en-GB"/>
        </w:rPr>
        <w:t xml:space="preserve">, such as history of chronic kidney disease, use of magnesium-containing </w:t>
      </w:r>
      <w:r w:rsidRPr="00DE6DD5">
        <w:rPr>
          <w:rFonts w:ascii="Times New Roman" w:eastAsia="Times New Roman" w:hAnsi="Times New Roman" w:cs="Times New Roman"/>
          <w:sz w:val="24"/>
          <w:szCs w:val="24"/>
          <w:lang w:eastAsia="en-GB"/>
        </w:rPr>
        <w:lastRenderedPageBreak/>
        <w:t>medications such as antacids and laxatives, and recent chemotherapy treatment. Patients on dialysis who may have missed their treatments are also especially at risk. A physical exam is difficult as patients may present with nonspecific findings such as visual changes, flushing, muscle paralysis, and somnolence. However, loss of patellar reflexes should raise suspicion for magnesium toxicity. Patients who are receiving a magnesium infusion, such as those with preeclampsia, require a continuous reassessment of patellar reflexes.</w:t>
      </w:r>
    </w:p>
    <w:p w:rsidR="00DE6DD5" w:rsidRPr="00DE6DD5" w:rsidRDefault="00DE6DD5" w:rsidP="00DE6DD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E6DD5">
        <w:rPr>
          <w:rFonts w:ascii="Times New Roman" w:eastAsia="Times New Roman" w:hAnsi="Times New Roman" w:cs="Times New Roman"/>
          <w:b/>
          <w:bCs/>
          <w:sz w:val="36"/>
          <w:szCs w:val="36"/>
          <w:lang w:eastAsia="en-GB"/>
        </w:rPr>
        <w:t>Evaluation</w:t>
      </w:r>
    </w:p>
    <w:p w:rsidR="00DE6DD5" w:rsidRPr="00DE6DD5" w:rsidRDefault="00DE6DD5" w:rsidP="00DE6DD5">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E6DD5">
        <w:rPr>
          <w:rFonts w:ascii="Times New Roman" w:eastAsia="Times New Roman" w:hAnsi="Times New Roman" w:cs="Times New Roman"/>
          <w:sz w:val="24"/>
          <w:szCs w:val="24"/>
          <w:lang w:eastAsia="en-GB"/>
        </w:rPr>
        <w:t>Hypermagnesemia</w:t>
      </w:r>
      <w:proofErr w:type="spellEnd"/>
      <w:r w:rsidRPr="00DE6DD5">
        <w:rPr>
          <w:rFonts w:ascii="Times New Roman" w:eastAsia="Times New Roman" w:hAnsi="Times New Roman" w:cs="Times New Roman"/>
          <w:sz w:val="24"/>
          <w:szCs w:val="24"/>
          <w:lang w:eastAsia="en-GB"/>
        </w:rPr>
        <w:t xml:space="preserve"> can be diagnosed relatively quickly if there is a high index of suspicion. This can be done by obtaining a measurement of the concentration of magnesium in the blood. Levels that are greater than </w:t>
      </w:r>
      <w:proofErr w:type="gramStart"/>
      <w:r w:rsidRPr="00DE6DD5">
        <w:rPr>
          <w:rFonts w:ascii="Times New Roman" w:eastAsia="Times New Roman" w:hAnsi="Times New Roman" w:cs="Times New Roman"/>
          <w:sz w:val="24"/>
          <w:szCs w:val="24"/>
          <w:lang w:eastAsia="en-GB"/>
        </w:rPr>
        <w:t xml:space="preserve">2.2 </w:t>
      </w:r>
      <w:proofErr w:type="spellStart"/>
      <w:r w:rsidRPr="00DE6DD5">
        <w:rPr>
          <w:rFonts w:ascii="Times New Roman" w:eastAsia="Times New Roman" w:hAnsi="Times New Roman" w:cs="Times New Roman"/>
          <w:sz w:val="24"/>
          <w:szCs w:val="24"/>
          <w:lang w:eastAsia="en-GB"/>
        </w:rPr>
        <w:t>mEq</w:t>
      </w:r>
      <w:proofErr w:type="spellEnd"/>
      <w:r w:rsidRPr="00DE6DD5">
        <w:rPr>
          <w:rFonts w:ascii="Times New Roman" w:eastAsia="Times New Roman" w:hAnsi="Times New Roman" w:cs="Times New Roman"/>
          <w:sz w:val="24"/>
          <w:szCs w:val="24"/>
          <w:lang w:eastAsia="en-GB"/>
        </w:rPr>
        <w:t>/L</w:t>
      </w:r>
      <w:proofErr w:type="gramEnd"/>
      <w:r w:rsidRPr="00DE6DD5">
        <w:rPr>
          <w:rFonts w:ascii="Times New Roman" w:eastAsia="Times New Roman" w:hAnsi="Times New Roman" w:cs="Times New Roman"/>
          <w:sz w:val="24"/>
          <w:szCs w:val="24"/>
          <w:lang w:eastAsia="en-GB"/>
        </w:rPr>
        <w:t xml:space="preserve"> (or greater than 1.1 </w:t>
      </w:r>
      <w:proofErr w:type="spellStart"/>
      <w:r w:rsidRPr="00DE6DD5">
        <w:rPr>
          <w:rFonts w:ascii="Times New Roman" w:eastAsia="Times New Roman" w:hAnsi="Times New Roman" w:cs="Times New Roman"/>
          <w:sz w:val="24"/>
          <w:szCs w:val="24"/>
          <w:lang w:eastAsia="en-GB"/>
        </w:rPr>
        <w:t>mmol</w:t>
      </w:r>
      <w:proofErr w:type="spellEnd"/>
      <w:r w:rsidRPr="00DE6DD5">
        <w:rPr>
          <w:rFonts w:ascii="Times New Roman" w:eastAsia="Times New Roman" w:hAnsi="Times New Roman" w:cs="Times New Roman"/>
          <w:sz w:val="24"/>
          <w:szCs w:val="24"/>
          <w:lang w:eastAsia="en-GB"/>
        </w:rPr>
        <w:t xml:space="preserve">/L) are diagnostic for </w:t>
      </w:r>
      <w:proofErr w:type="spellStart"/>
      <w:r w:rsidRPr="00DE6DD5">
        <w:rPr>
          <w:rFonts w:ascii="Times New Roman" w:eastAsia="Times New Roman" w:hAnsi="Times New Roman" w:cs="Times New Roman"/>
          <w:sz w:val="24"/>
          <w:szCs w:val="24"/>
          <w:lang w:eastAsia="en-GB"/>
        </w:rPr>
        <w:t>hypermagnesemia</w:t>
      </w:r>
      <w:proofErr w:type="spellEnd"/>
      <w:r w:rsidRPr="00DE6DD5">
        <w:rPr>
          <w:rFonts w:ascii="Times New Roman" w:eastAsia="Times New Roman" w:hAnsi="Times New Roman" w:cs="Times New Roman"/>
          <w:sz w:val="24"/>
          <w:szCs w:val="24"/>
          <w:lang w:eastAsia="en-GB"/>
        </w:rPr>
        <w:t xml:space="preserve">. When suspicion for magnesium toxicity is high, workup including an initial ECG as this can be readily done and can identify lethal </w:t>
      </w:r>
      <w:proofErr w:type="spellStart"/>
      <w:r w:rsidRPr="00DE6DD5">
        <w:rPr>
          <w:rFonts w:ascii="Times New Roman" w:eastAsia="Times New Roman" w:hAnsi="Times New Roman" w:cs="Times New Roman"/>
          <w:sz w:val="24"/>
          <w:szCs w:val="24"/>
          <w:lang w:eastAsia="en-GB"/>
        </w:rPr>
        <w:t>dysrhythmias</w:t>
      </w:r>
      <w:proofErr w:type="spellEnd"/>
      <w:r w:rsidRPr="00DE6DD5">
        <w:rPr>
          <w:rFonts w:ascii="Times New Roman" w:eastAsia="Times New Roman" w:hAnsi="Times New Roman" w:cs="Times New Roman"/>
          <w:sz w:val="24"/>
          <w:szCs w:val="24"/>
          <w:lang w:eastAsia="en-GB"/>
        </w:rPr>
        <w:t xml:space="preserve"> that may require emergent treatments. In addition to an ECG, a clinician should also order a complete metabolic panel, including magnesium and phosphorus, to rule out additional electrolyte abnormalities as well as evaluate the patient's renal function as magnesium is excreted by the kidneys.</w:t>
      </w:r>
    </w:p>
    <w:p w:rsidR="00DE6DD5" w:rsidRPr="00DE6DD5" w:rsidRDefault="00DE6DD5" w:rsidP="00DE6DD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E6DD5">
        <w:rPr>
          <w:rFonts w:ascii="Times New Roman" w:eastAsia="Times New Roman" w:hAnsi="Times New Roman" w:cs="Times New Roman"/>
          <w:b/>
          <w:bCs/>
          <w:sz w:val="36"/>
          <w:szCs w:val="36"/>
          <w:lang w:eastAsia="en-GB"/>
        </w:rPr>
        <w:t>Treatment / Management</w:t>
      </w:r>
    </w:p>
    <w:p w:rsidR="00DE6DD5" w:rsidRPr="00DE6DD5" w:rsidRDefault="00DE6DD5" w:rsidP="00DE6DD5">
      <w:pPr>
        <w:spacing w:before="100" w:beforeAutospacing="1" w:after="100" w:afterAutospacing="1" w:line="240" w:lineRule="auto"/>
        <w:rPr>
          <w:rFonts w:ascii="Times New Roman" w:eastAsia="Times New Roman" w:hAnsi="Times New Roman" w:cs="Times New Roman"/>
          <w:sz w:val="24"/>
          <w:szCs w:val="24"/>
          <w:lang w:eastAsia="en-GB"/>
        </w:rPr>
      </w:pPr>
      <w:r w:rsidRPr="00DE6DD5">
        <w:rPr>
          <w:rFonts w:ascii="Times New Roman" w:eastAsia="Times New Roman" w:hAnsi="Times New Roman" w:cs="Times New Roman"/>
          <w:sz w:val="24"/>
          <w:szCs w:val="24"/>
          <w:lang w:eastAsia="en-GB"/>
        </w:rPr>
        <w:t xml:space="preserve">The treatment of magnesium toxicity begins with the discontinuation of all magnesium-containing supplements and medication. In severe cases, intravenous calcium </w:t>
      </w:r>
      <w:proofErr w:type="spellStart"/>
      <w:r w:rsidRPr="00DE6DD5">
        <w:rPr>
          <w:rFonts w:ascii="Times New Roman" w:eastAsia="Times New Roman" w:hAnsi="Times New Roman" w:cs="Times New Roman"/>
          <w:sz w:val="24"/>
          <w:szCs w:val="24"/>
          <w:lang w:eastAsia="en-GB"/>
        </w:rPr>
        <w:t>gluconate</w:t>
      </w:r>
      <w:proofErr w:type="spellEnd"/>
      <w:r w:rsidRPr="00DE6DD5">
        <w:rPr>
          <w:rFonts w:ascii="Times New Roman" w:eastAsia="Times New Roman" w:hAnsi="Times New Roman" w:cs="Times New Roman"/>
          <w:sz w:val="24"/>
          <w:szCs w:val="24"/>
          <w:lang w:eastAsia="en-GB"/>
        </w:rPr>
        <w:t xml:space="preserve"> can be used to displace and neutralize the effects of magnesium. However, definitive treatment requires a reduction of magnesium levels within the body. In patients with normal kidney function, this is achievable through intravenous diuretics. For patients with impaired kidney function, dialysis treatment is necessary.</w:t>
      </w:r>
    </w:p>
    <w:p w:rsidR="00DE6DD5" w:rsidRPr="00DE6DD5" w:rsidRDefault="00DE6DD5" w:rsidP="00DE6DD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E6DD5">
        <w:rPr>
          <w:rFonts w:ascii="Times New Roman" w:eastAsia="Times New Roman" w:hAnsi="Times New Roman" w:cs="Times New Roman"/>
          <w:b/>
          <w:bCs/>
          <w:sz w:val="36"/>
          <w:szCs w:val="36"/>
          <w:lang w:eastAsia="en-GB"/>
        </w:rPr>
        <w:t>Differential Diagnosis</w:t>
      </w:r>
    </w:p>
    <w:p w:rsidR="00DE6DD5" w:rsidRPr="00DE6DD5" w:rsidRDefault="00DE6DD5" w:rsidP="00DE6DD5">
      <w:pPr>
        <w:spacing w:before="100" w:beforeAutospacing="1" w:after="100" w:afterAutospacing="1" w:line="240" w:lineRule="auto"/>
        <w:rPr>
          <w:rFonts w:ascii="Times New Roman" w:eastAsia="Times New Roman" w:hAnsi="Times New Roman" w:cs="Times New Roman"/>
          <w:sz w:val="24"/>
          <w:szCs w:val="24"/>
          <w:lang w:eastAsia="en-GB"/>
        </w:rPr>
      </w:pPr>
      <w:r w:rsidRPr="00DE6DD5">
        <w:rPr>
          <w:rFonts w:ascii="Times New Roman" w:eastAsia="Times New Roman" w:hAnsi="Times New Roman" w:cs="Times New Roman"/>
          <w:sz w:val="24"/>
          <w:szCs w:val="24"/>
          <w:lang w:eastAsia="en-GB"/>
        </w:rPr>
        <w:t xml:space="preserve">Due to the indistinct symptomatic presentation of magnesium toxicity, the differential diagnosis is wide. However, electrolyte imbalances, such as </w:t>
      </w:r>
      <w:proofErr w:type="spellStart"/>
      <w:r w:rsidRPr="00DE6DD5">
        <w:rPr>
          <w:rFonts w:ascii="Times New Roman" w:eastAsia="Times New Roman" w:hAnsi="Times New Roman" w:cs="Times New Roman"/>
          <w:sz w:val="24"/>
          <w:szCs w:val="24"/>
          <w:lang w:eastAsia="en-GB"/>
        </w:rPr>
        <w:t>hypokalemia</w:t>
      </w:r>
      <w:proofErr w:type="spellEnd"/>
      <w:r w:rsidRPr="00DE6DD5">
        <w:rPr>
          <w:rFonts w:ascii="Times New Roman" w:eastAsia="Times New Roman" w:hAnsi="Times New Roman" w:cs="Times New Roman"/>
          <w:sz w:val="24"/>
          <w:szCs w:val="24"/>
          <w:lang w:eastAsia="en-GB"/>
        </w:rPr>
        <w:t xml:space="preserve"> and </w:t>
      </w:r>
      <w:proofErr w:type="spellStart"/>
      <w:r w:rsidRPr="00DE6DD5">
        <w:rPr>
          <w:rFonts w:ascii="Times New Roman" w:eastAsia="Times New Roman" w:hAnsi="Times New Roman" w:cs="Times New Roman"/>
          <w:sz w:val="24"/>
          <w:szCs w:val="24"/>
          <w:lang w:eastAsia="en-GB"/>
        </w:rPr>
        <w:t>hypercalcemia</w:t>
      </w:r>
      <w:proofErr w:type="spellEnd"/>
      <w:r w:rsidRPr="00DE6DD5">
        <w:rPr>
          <w:rFonts w:ascii="Times New Roman" w:eastAsia="Times New Roman" w:hAnsi="Times New Roman" w:cs="Times New Roman"/>
          <w:sz w:val="24"/>
          <w:szCs w:val="24"/>
          <w:lang w:eastAsia="en-GB"/>
        </w:rPr>
        <w:t>, should always be included within the list. Therefore, a provider’s workup should include other electrolytes such as potassium, calcium, and phosphorus, in addition to magnesium levels.</w:t>
      </w:r>
    </w:p>
    <w:p w:rsidR="00DE6DD5" w:rsidRPr="00DE6DD5" w:rsidRDefault="00DE6DD5" w:rsidP="00DE6DD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E6DD5">
        <w:rPr>
          <w:rFonts w:ascii="Times New Roman" w:eastAsia="Times New Roman" w:hAnsi="Times New Roman" w:cs="Times New Roman"/>
          <w:sz w:val="24"/>
          <w:szCs w:val="24"/>
          <w:lang w:eastAsia="en-GB"/>
        </w:rPr>
        <w:t>Lithium </w:t>
      </w:r>
    </w:p>
    <w:p w:rsidR="00DE6DD5" w:rsidRPr="00DE6DD5" w:rsidRDefault="00DE6DD5" w:rsidP="00DE6DD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E6DD5">
        <w:rPr>
          <w:rFonts w:ascii="Times New Roman" w:eastAsia="Times New Roman" w:hAnsi="Times New Roman" w:cs="Times New Roman"/>
          <w:sz w:val="24"/>
          <w:szCs w:val="24"/>
          <w:lang w:eastAsia="en-GB"/>
        </w:rPr>
        <w:t>Depression</w:t>
      </w:r>
    </w:p>
    <w:p w:rsidR="00DE6DD5" w:rsidRPr="00DE6DD5" w:rsidRDefault="00DE6DD5" w:rsidP="00DE6DD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E6DD5">
        <w:rPr>
          <w:rFonts w:ascii="Times New Roman" w:eastAsia="Times New Roman" w:hAnsi="Times New Roman" w:cs="Times New Roman"/>
          <w:sz w:val="24"/>
          <w:szCs w:val="24"/>
          <w:lang w:eastAsia="en-GB"/>
        </w:rPr>
        <w:t>Hypothyroidism</w:t>
      </w:r>
    </w:p>
    <w:p w:rsidR="00DE6DD5" w:rsidRPr="00DE6DD5" w:rsidRDefault="00DE6DD5" w:rsidP="00DE6DD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E6DD5">
        <w:rPr>
          <w:rFonts w:ascii="Times New Roman" w:eastAsia="Times New Roman" w:hAnsi="Times New Roman" w:cs="Times New Roman"/>
          <w:sz w:val="24"/>
          <w:szCs w:val="24"/>
          <w:lang w:eastAsia="en-GB"/>
        </w:rPr>
        <w:t>Addison disease</w:t>
      </w:r>
    </w:p>
    <w:p w:rsidR="00DE6DD5" w:rsidRPr="00DE6DD5" w:rsidRDefault="00DE6DD5" w:rsidP="00DE6DD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E6DD5">
        <w:rPr>
          <w:rFonts w:ascii="Times New Roman" w:eastAsia="Times New Roman" w:hAnsi="Times New Roman" w:cs="Times New Roman"/>
          <w:sz w:val="24"/>
          <w:szCs w:val="24"/>
          <w:lang w:eastAsia="en-GB"/>
        </w:rPr>
        <w:t xml:space="preserve">Familial </w:t>
      </w:r>
      <w:proofErr w:type="spellStart"/>
      <w:r w:rsidRPr="00DE6DD5">
        <w:rPr>
          <w:rFonts w:ascii="Times New Roman" w:eastAsia="Times New Roman" w:hAnsi="Times New Roman" w:cs="Times New Roman"/>
          <w:sz w:val="24"/>
          <w:szCs w:val="24"/>
          <w:lang w:eastAsia="en-GB"/>
        </w:rPr>
        <w:t>hypocalciuric</w:t>
      </w:r>
      <w:proofErr w:type="spellEnd"/>
      <w:r w:rsidRPr="00DE6DD5">
        <w:rPr>
          <w:rFonts w:ascii="Times New Roman" w:eastAsia="Times New Roman" w:hAnsi="Times New Roman" w:cs="Times New Roman"/>
          <w:sz w:val="24"/>
          <w:szCs w:val="24"/>
          <w:lang w:eastAsia="en-GB"/>
        </w:rPr>
        <w:t xml:space="preserve"> </w:t>
      </w:r>
      <w:proofErr w:type="spellStart"/>
      <w:r w:rsidRPr="00DE6DD5">
        <w:rPr>
          <w:rFonts w:ascii="Times New Roman" w:eastAsia="Times New Roman" w:hAnsi="Times New Roman" w:cs="Times New Roman"/>
          <w:sz w:val="24"/>
          <w:szCs w:val="24"/>
          <w:lang w:eastAsia="en-GB"/>
        </w:rPr>
        <w:t>hypercalcemia</w:t>
      </w:r>
      <w:proofErr w:type="spellEnd"/>
    </w:p>
    <w:p w:rsidR="00DE6DD5" w:rsidRPr="00DE6DD5" w:rsidRDefault="00DE6DD5" w:rsidP="00DE6DD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E6DD5">
        <w:rPr>
          <w:rFonts w:ascii="Times New Roman" w:eastAsia="Times New Roman" w:hAnsi="Times New Roman" w:cs="Times New Roman"/>
          <w:sz w:val="24"/>
          <w:szCs w:val="24"/>
          <w:lang w:eastAsia="en-GB"/>
        </w:rPr>
        <w:t>Milk alkali syndrome</w:t>
      </w:r>
    </w:p>
    <w:p w:rsidR="00DE6DD5" w:rsidRPr="00DE6DD5" w:rsidRDefault="00DE6DD5" w:rsidP="00DE6DD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E6DD5">
        <w:rPr>
          <w:rFonts w:ascii="Times New Roman" w:eastAsia="Times New Roman" w:hAnsi="Times New Roman" w:cs="Times New Roman"/>
          <w:b/>
          <w:bCs/>
          <w:sz w:val="36"/>
          <w:szCs w:val="36"/>
          <w:lang w:eastAsia="en-GB"/>
        </w:rPr>
        <w:t>Prognosis</w:t>
      </w:r>
    </w:p>
    <w:p w:rsidR="00DE6DD5" w:rsidRPr="00DE6DD5" w:rsidRDefault="00DE6DD5" w:rsidP="00DE6DD5">
      <w:pPr>
        <w:spacing w:before="100" w:beforeAutospacing="1" w:after="100" w:afterAutospacing="1" w:line="240" w:lineRule="auto"/>
        <w:rPr>
          <w:rFonts w:ascii="Times New Roman" w:eastAsia="Times New Roman" w:hAnsi="Times New Roman" w:cs="Times New Roman"/>
          <w:sz w:val="24"/>
          <w:szCs w:val="24"/>
          <w:lang w:eastAsia="en-GB"/>
        </w:rPr>
      </w:pPr>
      <w:r w:rsidRPr="00DE6DD5">
        <w:rPr>
          <w:rFonts w:ascii="Times New Roman" w:eastAsia="Times New Roman" w:hAnsi="Times New Roman" w:cs="Times New Roman"/>
          <w:sz w:val="24"/>
          <w:szCs w:val="24"/>
          <w:lang w:eastAsia="en-GB"/>
        </w:rPr>
        <w:t xml:space="preserve">The prognosis of magnesium toxicity can include a complete resolution of symptoms without residual effects if diagnosed and treated early. Quality of life, long-term complications, and life expectancy are unaffected if toxic levels of magnesium are stabilized early on using </w:t>
      </w:r>
      <w:r w:rsidRPr="00DE6DD5">
        <w:rPr>
          <w:rFonts w:ascii="Times New Roman" w:eastAsia="Times New Roman" w:hAnsi="Times New Roman" w:cs="Times New Roman"/>
          <w:sz w:val="24"/>
          <w:szCs w:val="24"/>
          <w:lang w:eastAsia="en-GB"/>
        </w:rPr>
        <w:lastRenderedPageBreak/>
        <w:t xml:space="preserve">calcium </w:t>
      </w:r>
      <w:proofErr w:type="spellStart"/>
      <w:r w:rsidRPr="00DE6DD5">
        <w:rPr>
          <w:rFonts w:ascii="Times New Roman" w:eastAsia="Times New Roman" w:hAnsi="Times New Roman" w:cs="Times New Roman"/>
          <w:sz w:val="24"/>
          <w:szCs w:val="24"/>
          <w:lang w:eastAsia="en-GB"/>
        </w:rPr>
        <w:t>gluconate</w:t>
      </w:r>
      <w:proofErr w:type="spellEnd"/>
      <w:r w:rsidRPr="00DE6DD5">
        <w:rPr>
          <w:rFonts w:ascii="Times New Roman" w:eastAsia="Times New Roman" w:hAnsi="Times New Roman" w:cs="Times New Roman"/>
          <w:sz w:val="24"/>
          <w:szCs w:val="24"/>
          <w:lang w:eastAsia="en-GB"/>
        </w:rPr>
        <w:t xml:space="preserve"> and subsequently lowered using diuretics or dialysis. However, if left untreated, magnesium toxicity has a high rate of mortality due to respiratory paralysis and cardiac arrest.</w:t>
      </w:r>
    </w:p>
    <w:p w:rsidR="00DE6DD5" w:rsidRPr="00DE6DD5" w:rsidRDefault="00DE6DD5" w:rsidP="00DE6DD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E6DD5">
        <w:rPr>
          <w:rFonts w:ascii="Times New Roman" w:eastAsia="Times New Roman" w:hAnsi="Times New Roman" w:cs="Times New Roman"/>
          <w:b/>
          <w:bCs/>
          <w:sz w:val="36"/>
          <w:szCs w:val="36"/>
          <w:lang w:eastAsia="en-GB"/>
        </w:rPr>
        <w:t>Complications</w:t>
      </w:r>
    </w:p>
    <w:p w:rsidR="00DE6DD5" w:rsidRDefault="00DE6DD5" w:rsidP="00DE6DD5">
      <w:pPr>
        <w:spacing w:before="100" w:beforeAutospacing="1" w:after="100" w:afterAutospacing="1" w:line="240" w:lineRule="auto"/>
        <w:rPr>
          <w:rFonts w:ascii="Times New Roman" w:eastAsia="Times New Roman" w:hAnsi="Times New Roman" w:cs="Times New Roman"/>
          <w:sz w:val="24"/>
          <w:szCs w:val="24"/>
          <w:lang w:eastAsia="en-GB"/>
        </w:rPr>
      </w:pPr>
      <w:r w:rsidRPr="00DE6DD5">
        <w:rPr>
          <w:rFonts w:ascii="Times New Roman" w:eastAsia="Times New Roman" w:hAnsi="Times New Roman" w:cs="Times New Roman"/>
          <w:sz w:val="24"/>
          <w:szCs w:val="24"/>
          <w:lang w:eastAsia="en-GB"/>
        </w:rPr>
        <w:t xml:space="preserve">Complications of magnesium toxicity can be both systemic and organ-specific, depending on the levels of magnesium concentration in the blood. Minor side effects seen early on in </w:t>
      </w:r>
      <w:proofErr w:type="spellStart"/>
      <w:r w:rsidRPr="00DE6DD5">
        <w:rPr>
          <w:rFonts w:ascii="Times New Roman" w:eastAsia="Times New Roman" w:hAnsi="Times New Roman" w:cs="Times New Roman"/>
          <w:sz w:val="24"/>
          <w:szCs w:val="24"/>
          <w:lang w:eastAsia="en-GB"/>
        </w:rPr>
        <w:t>hypermagnesemia</w:t>
      </w:r>
      <w:proofErr w:type="spellEnd"/>
      <w:r w:rsidRPr="00DE6DD5">
        <w:rPr>
          <w:rFonts w:ascii="Times New Roman" w:eastAsia="Times New Roman" w:hAnsi="Times New Roman" w:cs="Times New Roman"/>
          <w:sz w:val="24"/>
          <w:szCs w:val="24"/>
          <w:lang w:eastAsia="en-GB"/>
        </w:rPr>
        <w:t xml:space="preserve"> include flushed skin, nausea or vomiting, and generalized muscle weakness. However, as the levels of magnesium increase, the muscle weakness progresses to loss of deep tendon reflexes and eventually, flaccid paralysis that can cause respiratory compromise. Further complications include those in the cardiovascular system, beginning with hypotension and </w:t>
      </w:r>
      <w:proofErr w:type="spellStart"/>
      <w:r w:rsidRPr="00DE6DD5">
        <w:rPr>
          <w:rFonts w:ascii="Times New Roman" w:eastAsia="Times New Roman" w:hAnsi="Times New Roman" w:cs="Times New Roman"/>
          <w:sz w:val="24"/>
          <w:szCs w:val="24"/>
          <w:lang w:eastAsia="en-GB"/>
        </w:rPr>
        <w:t>bradycardia</w:t>
      </w:r>
      <w:proofErr w:type="spellEnd"/>
      <w:r w:rsidRPr="00DE6DD5">
        <w:rPr>
          <w:rFonts w:ascii="Times New Roman" w:eastAsia="Times New Roman" w:hAnsi="Times New Roman" w:cs="Times New Roman"/>
          <w:sz w:val="24"/>
          <w:szCs w:val="24"/>
          <w:lang w:eastAsia="en-GB"/>
        </w:rPr>
        <w:t>. If magnesium levels remain uncorrected, this can lead to a complete heart block and, subsequently, cardiac arrest.</w:t>
      </w:r>
    </w:p>
    <w:p w:rsidR="00B76A2A" w:rsidRDefault="00B76A2A" w:rsidP="00DE6DD5">
      <w:pPr>
        <w:spacing w:before="100" w:beforeAutospacing="1" w:after="100" w:afterAutospacing="1" w:line="240" w:lineRule="auto"/>
        <w:rPr>
          <w:rFonts w:ascii="Times New Roman" w:eastAsia="Times New Roman" w:hAnsi="Times New Roman" w:cs="Times New Roman"/>
          <w:b/>
          <w:sz w:val="24"/>
          <w:szCs w:val="24"/>
          <w:lang w:eastAsia="en-GB"/>
        </w:rPr>
      </w:pPr>
      <w:r w:rsidRPr="00B76A2A">
        <w:rPr>
          <w:rFonts w:ascii="Times New Roman" w:eastAsia="Times New Roman" w:hAnsi="Times New Roman" w:cs="Times New Roman"/>
          <w:b/>
          <w:sz w:val="24"/>
          <w:szCs w:val="24"/>
          <w:lang w:eastAsia="en-GB"/>
        </w:rPr>
        <w:t xml:space="preserve">Chloride </w:t>
      </w:r>
    </w:p>
    <w:p w:rsidR="00B76A2A" w:rsidRDefault="00B76A2A" w:rsidP="00DE6DD5">
      <w:pPr>
        <w:spacing w:before="100" w:beforeAutospacing="1" w:after="100" w:afterAutospacing="1" w:line="240" w:lineRule="auto"/>
      </w:pPr>
      <w:r>
        <w:t>Chlorine gas is a pulmonary irritant with intermediate water solubility that causes acute damage in the upper and lower respiratory tract. Occupational exposures constitute the highest risk for serious toxicity from high-concentration chlorine (see the image below). Mixing of chlorine bleach (sodium hypochlorite) with ammonia or acidic cleaning agents is a common source of household exposure. As with all poisons, the dose determines the toxicity. Exposure to low concentrations of chlorine for prolonged periods may have destructive effects, as might very short-term exposure to high concentrations.</w:t>
      </w:r>
    </w:p>
    <w:p w:rsidR="00B76A2A" w:rsidRDefault="00B76A2A" w:rsidP="00DE6DD5">
      <w:pPr>
        <w:spacing w:before="100" w:beforeAutospacing="1" w:after="100" w:afterAutospacing="1" w:line="240" w:lineRule="auto"/>
        <w:rPr>
          <w:b/>
        </w:rPr>
      </w:pPr>
      <w:r w:rsidRPr="00B76A2A">
        <w:rPr>
          <w:b/>
        </w:rPr>
        <w:t xml:space="preserve">Iron </w:t>
      </w:r>
    </w:p>
    <w:p w:rsidR="00B76A2A" w:rsidRDefault="00B76A2A" w:rsidP="00B76A2A">
      <w:pPr>
        <w:pStyle w:val="NormalWeb"/>
      </w:pPr>
      <w:r>
        <w:t xml:space="preserve">Iron overdose has been one of the leading causes of poisoning deaths in children younger than 6 years. Iron is used in </w:t>
      </w:r>
      <w:proofErr w:type="spellStart"/>
      <w:r>
        <w:t>pediatric</w:t>
      </w:r>
      <w:proofErr w:type="spellEnd"/>
      <w:r>
        <w:t xml:space="preserve"> or prenatal vitamin and mineral supplements and for treatment of anemia. Iron tablets are particularly tempting to young children because they look like candy. Iron overdose in adults is typically a suicide attempt.</w:t>
      </w:r>
      <w:r>
        <w:rPr>
          <w:vertAlign w:val="superscript"/>
        </w:rPr>
        <w:t xml:space="preserve"> [</w:t>
      </w:r>
      <w:hyperlink r:id="rId6" w:history="1">
        <w:r>
          <w:rPr>
            <w:rStyle w:val="Hyperlink"/>
            <w:vertAlign w:val="superscript"/>
          </w:rPr>
          <w:t>14</w:t>
        </w:r>
      </w:hyperlink>
      <w:r>
        <w:rPr>
          <w:vertAlign w:val="superscript"/>
        </w:rPr>
        <w:t xml:space="preserve">] </w:t>
      </w:r>
    </w:p>
    <w:p w:rsidR="00B76A2A" w:rsidRDefault="00B76A2A" w:rsidP="00B76A2A">
      <w:pPr>
        <w:pStyle w:val="NormalWeb"/>
      </w:pPr>
      <w:r>
        <w:t xml:space="preserve">Iron overload may develop chronically as well, especially in patients requiring multiple transfusions of red blood cells. This condition develops in patients with sickle cell disease, </w:t>
      </w:r>
      <w:proofErr w:type="spellStart"/>
      <w:r>
        <w:t>thalassemia</w:t>
      </w:r>
      <w:proofErr w:type="spellEnd"/>
      <w:r>
        <w:t>, and hematologic malignancies such as </w:t>
      </w:r>
      <w:proofErr w:type="spellStart"/>
      <w:r>
        <w:t>myelodysplastic</w:t>
      </w:r>
      <w:proofErr w:type="spellEnd"/>
      <w:r>
        <w:t xml:space="preserve"> syndromes</w:t>
      </w:r>
    </w:p>
    <w:p w:rsidR="00B76A2A" w:rsidRDefault="00B76A2A" w:rsidP="00DE6DD5">
      <w:pPr>
        <w:spacing w:before="100" w:beforeAutospacing="1" w:after="100" w:afterAutospacing="1" w:line="240" w:lineRule="auto"/>
        <w:rPr>
          <w:b/>
        </w:rPr>
      </w:pPr>
    </w:p>
    <w:p w:rsidR="00B76A2A" w:rsidRPr="00DE6DD5" w:rsidRDefault="00B76A2A" w:rsidP="00DE6DD5">
      <w:pPr>
        <w:spacing w:before="100" w:beforeAutospacing="1" w:after="100" w:afterAutospacing="1" w:line="240" w:lineRule="auto"/>
        <w:rPr>
          <w:rFonts w:ascii="Times New Roman" w:eastAsia="Times New Roman" w:hAnsi="Times New Roman" w:cs="Times New Roman"/>
          <w:b/>
          <w:sz w:val="24"/>
          <w:szCs w:val="24"/>
          <w:lang w:eastAsia="en-GB"/>
        </w:rPr>
      </w:pPr>
    </w:p>
    <w:p w:rsidR="006F241D" w:rsidRPr="006F241D" w:rsidRDefault="006F241D" w:rsidP="006F241D">
      <w:pPr>
        <w:spacing w:before="100" w:beforeAutospacing="1" w:after="100" w:afterAutospacing="1" w:line="240" w:lineRule="auto"/>
        <w:rPr>
          <w:rFonts w:ascii="Times New Roman" w:eastAsia="Times New Roman" w:hAnsi="Times New Roman" w:cs="Times New Roman"/>
          <w:sz w:val="24"/>
          <w:szCs w:val="24"/>
          <w:lang w:eastAsia="en-GB"/>
        </w:rPr>
      </w:pPr>
    </w:p>
    <w:p w:rsidR="006F241D" w:rsidRDefault="006F241D"/>
    <w:sectPr w:rsidR="006F241D" w:rsidSect="00DA66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F1622"/>
    <w:multiLevelType w:val="multilevel"/>
    <w:tmpl w:val="AB54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125300"/>
    <w:multiLevelType w:val="multilevel"/>
    <w:tmpl w:val="1938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A2388"/>
    <w:rsid w:val="001276B2"/>
    <w:rsid w:val="00197497"/>
    <w:rsid w:val="006F241D"/>
    <w:rsid w:val="00AA2388"/>
    <w:rsid w:val="00B76A2A"/>
    <w:rsid w:val="00DA6656"/>
    <w:rsid w:val="00DE6D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56"/>
  </w:style>
  <w:style w:type="paragraph" w:styleId="Heading2">
    <w:name w:val="heading 2"/>
    <w:basedOn w:val="Normal"/>
    <w:link w:val="Heading2Char"/>
    <w:uiPriority w:val="9"/>
    <w:qFormat/>
    <w:rsid w:val="00DE6DD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6F241D"/>
  </w:style>
  <w:style w:type="paragraph" w:styleId="NormalWeb">
    <w:name w:val="Normal (Web)"/>
    <w:basedOn w:val="Normal"/>
    <w:uiPriority w:val="99"/>
    <w:semiHidden/>
    <w:unhideWhenUsed/>
    <w:rsid w:val="006F24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241D"/>
    <w:rPr>
      <w:b/>
      <w:bCs/>
    </w:rPr>
  </w:style>
  <w:style w:type="character" w:styleId="Hyperlink">
    <w:name w:val="Hyperlink"/>
    <w:basedOn w:val="DefaultParagraphFont"/>
    <w:uiPriority w:val="99"/>
    <w:semiHidden/>
    <w:unhideWhenUsed/>
    <w:rsid w:val="006F241D"/>
    <w:rPr>
      <w:color w:val="0000FF"/>
      <w:u w:val="single"/>
    </w:rPr>
  </w:style>
  <w:style w:type="paragraph" w:customStyle="1" w:styleId="mt-align-center">
    <w:name w:val="mt-align-center"/>
    <w:basedOn w:val="Normal"/>
    <w:rsid w:val="006F24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2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41D"/>
    <w:rPr>
      <w:rFonts w:ascii="Tahoma" w:hAnsi="Tahoma" w:cs="Tahoma"/>
      <w:sz w:val="16"/>
      <w:szCs w:val="16"/>
    </w:rPr>
  </w:style>
  <w:style w:type="character" w:customStyle="1" w:styleId="Heading2Char">
    <w:name w:val="Heading 2 Char"/>
    <w:basedOn w:val="DefaultParagraphFont"/>
    <w:link w:val="Heading2"/>
    <w:uiPriority w:val="9"/>
    <w:rsid w:val="00DE6DD5"/>
    <w:rPr>
      <w:rFonts w:ascii="Times New Roman" w:eastAsia="Times New Roman"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divs>
    <w:div w:id="313070250">
      <w:bodyDiv w:val="1"/>
      <w:marLeft w:val="0"/>
      <w:marRight w:val="0"/>
      <w:marTop w:val="0"/>
      <w:marBottom w:val="0"/>
      <w:divBdr>
        <w:top w:val="none" w:sz="0" w:space="0" w:color="auto"/>
        <w:left w:val="none" w:sz="0" w:space="0" w:color="auto"/>
        <w:bottom w:val="none" w:sz="0" w:space="0" w:color="auto"/>
        <w:right w:val="none" w:sz="0" w:space="0" w:color="auto"/>
      </w:divBdr>
    </w:div>
    <w:div w:id="457574748">
      <w:bodyDiv w:val="1"/>
      <w:marLeft w:val="0"/>
      <w:marRight w:val="0"/>
      <w:marTop w:val="0"/>
      <w:marBottom w:val="0"/>
      <w:divBdr>
        <w:top w:val="none" w:sz="0" w:space="0" w:color="auto"/>
        <w:left w:val="none" w:sz="0" w:space="0" w:color="auto"/>
        <w:bottom w:val="none" w:sz="0" w:space="0" w:color="auto"/>
        <w:right w:val="none" w:sz="0" w:space="0" w:color="auto"/>
      </w:divBdr>
    </w:div>
    <w:div w:id="676882720">
      <w:bodyDiv w:val="1"/>
      <w:marLeft w:val="0"/>
      <w:marRight w:val="0"/>
      <w:marTop w:val="0"/>
      <w:marBottom w:val="0"/>
      <w:divBdr>
        <w:top w:val="none" w:sz="0" w:space="0" w:color="auto"/>
        <w:left w:val="none" w:sz="0" w:space="0" w:color="auto"/>
        <w:bottom w:val="none" w:sz="0" w:space="0" w:color="auto"/>
        <w:right w:val="none" w:sz="0" w:space="0" w:color="auto"/>
      </w:divBdr>
      <w:divsChild>
        <w:div w:id="1240142447">
          <w:marLeft w:val="0"/>
          <w:marRight w:val="0"/>
          <w:marTop w:val="0"/>
          <w:marBottom w:val="0"/>
          <w:divBdr>
            <w:top w:val="none" w:sz="0" w:space="0" w:color="auto"/>
            <w:left w:val="none" w:sz="0" w:space="0" w:color="auto"/>
            <w:bottom w:val="none" w:sz="0" w:space="0" w:color="auto"/>
            <w:right w:val="none" w:sz="0" w:space="0" w:color="auto"/>
          </w:divBdr>
        </w:div>
        <w:div w:id="244072439">
          <w:marLeft w:val="0"/>
          <w:marRight w:val="0"/>
          <w:marTop w:val="0"/>
          <w:marBottom w:val="0"/>
          <w:divBdr>
            <w:top w:val="none" w:sz="0" w:space="0" w:color="auto"/>
            <w:left w:val="none" w:sz="0" w:space="0" w:color="auto"/>
            <w:bottom w:val="none" w:sz="0" w:space="0" w:color="auto"/>
            <w:right w:val="none" w:sz="0" w:space="0" w:color="auto"/>
          </w:divBdr>
          <w:divsChild>
            <w:div w:id="1243830432">
              <w:marLeft w:val="0"/>
              <w:marRight w:val="0"/>
              <w:marTop w:val="0"/>
              <w:marBottom w:val="0"/>
              <w:divBdr>
                <w:top w:val="none" w:sz="0" w:space="0" w:color="auto"/>
                <w:left w:val="none" w:sz="0" w:space="0" w:color="auto"/>
                <w:bottom w:val="none" w:sz="0" w:space="0" w:color="auto"/>
                <w:right w:val="none" w:sz="0" w:space="0" w:color="auto"/>
              </w:divBdr>
            </w:div>
          </w:divsChild>
        </w:div>
        <w:div w:id="1002245397">
          <w:marLeft w:val="0"/>
          <w:marRight w:val="0"/>
          <w:marTop w:val="0"/>
          <w:marBottom w:val="0"/>
          <w:divBdr>
            <w:top w:val="none" w:sz="0" w:space="0" w:color="auto"/>
            <w:left w:val="none" w:sz="0" w:space="0" w:color="auto"/>
            <w:bottom w:val="none" w:sz="0" w:space="0" w:color="auto"/>
            <w:right w:val="none" w:sz="0" w:space="0" w:color="auto"/>
          </w:divBdr>
          <w:divsChild>
            <w:div w:id="1943221430">
              <w:marLeft w:val="0"/>
              <w:marRight w:val="0"/>
              <w:marTop w:val="0"/>
              <w:marBottom w:val="0"/>
              <w:divBdr>
                <w:top w:val="none" w:sz="0" w:space="0" w:color="auto"/>
                <w:left w:val="none" w:sz="0" w:space="0" w:color="auto"/>
                <w:bottom w:val="none" w:sz="0" w:space="0" w:color="auto"/>
                <w:right w:val="none" w:sz="0" w:space="0" w:color="auto"/>
              </w:divBdr>
            </w:div>
          </w:divsChild>
        </w:div>
        <w:div w:id="991182586">
          <w:marLeft w:val="0"/>
          <w:marRight w:val="0"/>
          <w:marTop w:val="0"/>
          <w:marBottom w:val="0"/>
          <w:divBdr>
            <w:top w:val="none" w:sz="0" w:space="0" w:color="auto"/>
            <w:left w:val="none" w:sz="0" w:space="0" w:color="auto"/>
            <w:bottom w:val="none" w:sz="0" w:space="0" w:color="auto"/>
            <w:right w:val="none" w:sz="0" w:space="0" w:color="auto"/>
          </w:divBdr>
          <w:divsChild>
            <w:div w:id="2034528499">
              <w:marLeft w:val="0"/>
              <w:marRight w:val="0"/>
              <w:marTop w:val="0"/>
              <w:marBottom w:val="0"/>
              <w:divBdr>
                <w:top w:val="none" w:sz="0" w:space="0" w:color="auto"/>
                <w:left w:val="none" w:sz="0" w:space="0" w:color="auto"/>
                <w:bottom w:val="none" w:sz="0" w:space="0" w:color="auto"/>
                <w:right w:val="none" w:sz="0" w:space="0" w:color="auto"/>
              </w:divBdr>
            </w:div>
          </w:divsChild>
        </w:div>
        <w:div w:id="1382557871">
          <w:marLeft w:val="0"/>
          <w:marRight w:val="0"/>
          <w:marTop w:val="0"/>
          <w:marBottom w:val="0"/>
          <w:divBdr>
            <w:top w:val="none" w:sz="0" w:space="0" w:color="auto"/>
            <w:left w:val="none" w:sz="0" w:space="0" w:color="auto"/>
            <w:bottom w:val="none" w:sz="0" w:space="0" w:color="auto"/>
            <w:right w:val="none" w:sz="0" w:space="0" w:color="auto"/>
          </w:divBdr>
          <w:divsChild>
            <w:div w:id="422262536">
              <w:marLeft w:val="0"/>
              <w:marRight w:val="0"/>
              <w:marTop w:val="0"/>
              <w:marBottom w:val="0"/>
              <w:divBdr>
                <w:top w:val="none" w:sz="0" w:space="0" w:color="auto"/>
                <w:left w:val="none" w:sz="0" w:space="0" w:color="auto"/>
                <w:bottom w:val="none" w:sz="0" w:space="0" w:color="auto"/>
                <w:right w:val="none" w:sz="0" w:space="0" w:color="auto"/>
              </w:divBdr>
            </w:div>
          </w:divsChild>
        </w:div>
        <w:div w:id="1588536361">
          <w:marLeft w:val="0"/>
          <w:marRight w:val="0"/>
          <w:marTop w:val="0"/>
          <w:marBottom w:val="0"/>
          <w:divBdr>
            <w:top w:val="none" w:sz="0" w:space="0" w:color="auto"/>
            <w:left w:val="none" w:sz="0" w:space="0" w:color="auto"/>
            <w:bottom w:val="none" w:sz="0" w:space="0" w:color="auto"/>
            <w:right w:val="none" w:sz="0" w:space="0" w:color="auto"/>
          </w:divBdr>
          <w:divsChild>
            <w:div w:id="1388140376">
              <w:marLeft w:val="0"/>
              <w:marRight w:val="0"/>
              <w:marTop w:val="0"/>
              <w:marBottom w:val="0"/>
              <w:divBdr>
                <w:top w:val="none" w:sz="0" w:space="0" w:color="auto"/>
                <w:left w:val="none" w:sz="0" w:space="0" w:color="auto"/>
                <w:bottom w:val="none" w:sz="0" w:space="0" w:color="auto"/>
                <w:right w:val="none" w:sz="0" w:space="0" w:color="auto"/>
              </w:divBdr>
            </w:div>
          </w:divsChild>
        </w:div>
        <w:div w:id="2110856427">
          <w:marLeft w:val="0"/>
          <w:marRight w:val="0"/>
          <w:marTop w:val="0"/>
          <w:marBottom w:val="0"/>
          <w:divBdr>
            <w:top w:val="none" w:sz="0" w:space="0" w:color="auto"/>
            <w:left w:val="none" w:sz="0" w:space="0" w:color="auto"/>
            <w:bottom w:val="none" w:sz="0" w:space="0" w:color="auto"/>
            <w:right w:val="none" w:sz="0" w:space="0" w:color="auto"/>
          </w:divBdr>
          <w:divsChild>
            <w:div w:id="1433011814">
              <w:marLeft w:val="0"/>
              <w:marRight w:val="0"/>
              <w:marTop w:val="0"/>
              <w:marBottom w:val="0"/>
              <w:divBdr>
                <w:top w:val="none" w:sz="0" w:space="0" w:color="auto"/>
                <w:left w:val="none" w:sz="0" w:space="0" w:color="auto"/>
                <w:bottom w:val="none" w:sz="0" w:space="0" w:color="auto"/>
                <w:right w:val="none" w:sz="0" w:space="0" w:color="auto"/>
              </w:divBdr>
            </w:div>
          </w:divsChild>
        </w:div>
        <w:div w:id="1904870371">
          <w:marLeft w:val="0"/>
          <w:marRight w:val="0"/>
          <w:marTop w:val="0"/>
          <w:marBottom w:val="0"/>
          <w:divBdr>
            <w:top w:val="none" w:sz="0" w:space="0" w:color="auto"/>
            <w:left w:val="none" w:sz="0" w:space="0" w:color="auto"/>
            <w:bottom w:val="none" w:sz="0" w:space="0" w:color="auto"/>
            <w:right w:val="none" w:sz="0" w:space="0" w:color="auto"/>
          </w:divBdr>
          <w:divsChild>
            <w:div w:id="1873759497">
              <w:marLeft w:val="0"/>
              <w:marRight w:val="0"/>
              <w:marTop w:val="0"/>
              <w:marBottom w:val="0"/>
              <w:divBdr>
                <w:top w:val="none" w:sz="0" w:space="0" w:color="auto"/>
                <w:left w:val="none" w:sz="0" w:space="0" w:color="auto"/>
                <w:bottom w:val="none" w:sz="0" w:space="0" w:color="auto"/>
                <w:right w:val="none" w:sz="0" w:space="0" w:color="auto"/>
              </w:divBdr>
            </w:div>
          </w:divsChild>
        </w:div>
        <w:div w:id="725492605">
          <w:marLeft w:val="0"/>
          <w:marRight w:val="0"/>
          <w:marTop w:val="0"/>
          <w:marBottom w:val="0"/>
          <w:divBdr>
            <w:top w:val="none" w:sz="0" w:space="0" w:color="auto"/>
            <w:left w:val="none" w:sz="0" w:space="0" w:color="auto"/>
            <w:bottom w:val="none" w:sz="0" w:space="0" w:color="auto"/>
            <w:right w:val="none" w:sz="0" w:space="0" w:color="auto"/>
          </w:divBdr>
          <w:divsChild>
            <w:div w:id="902832021">
              <w:marLeft w:val="0"/>
              <w:marRight w:val="0"/>
              <w:marTop w:val="0"/>
              <w:marBottom w:val="0"/>
              <w:divBdr>
                <w:top w:val="none" w:sz="0" w:space="0" w:color="auto"/>
                <w:left w:val="none" w:sz="0" w:space="0" w:color="auto"/>
                <w:bottom w:val="none" w:sz="0" w:space="0" w:color="auto"/>
                <w:right w:val="none" w:sz="0" w:space="0" w:color="auto"/>
              </w:divBdr>
            </w:div>
            <w:div w:id="362364472">
              <w:marLeft w:val="0"/>
              <w:marRight w:val="0"/>
              <w:marTop w:val="0"/>
              <w:marBottom w:val="0"/>
              <w:divBdr>
                <w:top w:val="none" w:sz="0" w:space="0" w:color="auto"/>
                <w:left w:val="none" w:sz="0" w:space="0" w:color="auto"/>
                <w:bottom w:val="none" w:sz="0" w:space="0" w:color="auto"/>
                <w:right w:val="none" w:sz="0" w:space="0" w:color="auto"/>
              </w:divBdr>
            </w:div>
            <w:div w:id="2067534498">
              <w:marLeft w:val="0"/>
              <w:marRight w:val="0"/>
              <w:marTop w:val="0"/>
              <w:marBottom w:val="0"/>
              <w:divBdr>
                <w:top w:val="none" w:sz="0" w:space="0" w:color="auto"/>
                <w:left w:val="none" w:sz="0" w:space="0" w:color="auto"/>
                <w:bottom w:val="none" w:sz="0" w:space="0" w:color="auto"/>
                <w:right w:val="none" w:sz="0" w:space="0" w:color="auto"/>
              </w:divBdr>
            </w:div>
            <w:div w:id="1528442552">
              <w:marLeft w:val="0"/>
              <w:marRight w:val="0"/>
              <w:marTop w:val="0"/>
              <w:marBottom w:val="0"/>
              <w:divBdr>
                <w:top w:val="none" w:sz="0" w:space="0" w:color="auto"/>
                <w:left w:val="none" w:sz="0" w:space="0" w:color="auto"/>
                <w:bottom w:val="none" w:sz="0" w:space="0" w:color="auto"/>
                <w:right w:val="none" w:sz="0" w:space="0" w:color="auto"/>
              </w:divBdr>
            </w:div>
            <w:div w:id="1813598008">
              <w:marLeft w:val="0"/>
              <w:marRight w:val="0"/>
              <w:marTop w:val="0"/>
              <w:marBottom w:val="0"/>
              <w:divBdr>
                <w:top w:val="none" w:sz="0" w:space="0" w:color="auto"/>
                <w:left w:val="none" w:sz="0" w:space="0" w:color="auto"/>
                <w:bottom w:val="none" w:sz="0" w:space="0" w:color="auto"/>
                <w:right w:val="none" w:sz="0" w:space="0" w:color="auto"/>
              </w:divBdr>
            </w:div>
            <w:div w:id="655190717">
              <w:marLeft w:val="0"/>
              <w:marRight w:val="0"/>
              <w:marTop w:val="0"/>
              <w:marBottom w:val="0"/>
              <w:divBdr>
                <w:top w:val="none" w:sz="0" w:space="0" w:color="auto"/>
                <w:left w:val="none" w:sz="0" w:space="0" w:color="auto"/>
                <w:bottom w:val="none" w:sz="0" w:space="0" w:color="auto"/>
                <w:right w:val="none" w:sz="0" w:space="0" w:color="auto"/>
              </w:divBdr>
            </w:div>
            <w:div w:id="148374549">
              <w:marLeft w:val="0"/>
              <w:marRight w:val="0"/>
              <w:marTop w:val="0"/>
              <w:marBottom w:val="0"/>
              <w:divBdr>
                <w:top w:val="none" w:sz="0" w:space="0" w:color="auto"/>
                <w:left w:val="none" w:sz="0" w:space="0" w:color="auto"/>
                <w:bottom w:val="none" w:sz="0" w:space="0" w:color="auto"/>
                <w:right w:val="none" w:sz="0" w:space="0" w:color="auto"/>
              </w:divBdr>
            </w:div>
          </w:divsChild>
        </w:div>
        <w:div w:id="1274509464">
          <w:marLeft w:val="0"/>
          <w:marRight w:val="0"/>
          <w:marTop w:val="0"/>
          <w:marBottom w:val="0"/>
          <w:divBdr>
            <w:top w:val="none" w:sz="0" w:space="0" w:color="auto"/>
            <w:left w:val="none" w:sz="0" w:space="0" w:color="auto"/>
            <w:bottom w:val="none" w:sz="0" w:space="0" w:color="auto"/>
            <w:right w:val="none" w:sz="0" w:space="0" w:color="auto"/>
          </w:divBdr>
          <w:divsChild>
            <w:div w:id="49964558">
              <w:marLeft w:val="0"/>
              <w:marRight w:val="0"/>
              <w:marTop w:val="0"/>
              <w:marBottom w:val="0"/>
              <w:divBdr>
                <w:top w:val="none" w:sz="0" w:space="0" w:color="auto"/>
                <w:left w:val="none" w:sz="0" w:space="0" w:color="auto"/>
                <w:bottom w:val="none" w:sz="0" w:space="0" w:color="auto"/>
                <w:right w:val="none" w:sz="0" w:space="0" w:color="auto"/>
              </w:divBdr>
            </w:div>
          </w:divsChild>
        </w:div>
        <w:div w:id="690643471">
          <w:marLeft w:val="0"/>
          <w:marRight w:val="0"/>
          <w:marTop w:val="0"/>
          <w:marBottom w:val="0"/>
          <w:divBdr>
            <w:top w:val="none" w:sz="0" w:space="0" w:color="auto"/>
            <w:left w:val="none" w:sz="0" w:space="0" w:color="auto"/>
            <w:bottom w:val="none" w:sz="0" w:space="0" w:color="auto"/>
            <w:right w:val="none" w:sz="0" w:space="0" w:color="auto"/>
          </w:divBdr>
          <w:divsChild>
            <w:div w:id="477965396">
              <w:marLeft w:val="0"/>
              <w:marRight w:val="0"/>
              <w:marTop w:val="0"/>
              <w:marBottom w:val="0"/>
              <w:divBdr>
                <w:top w:val="none" w:sz="0" w:space="0" w:color="auto"/>
                <w:left w:val="none" w:sz="0" w:space="0" w:color="auto"/>
                <w:bottom w:val="none" w:sz="0" w:space="0" w:color="auto"/>
                <w:right w:val="none" w:sz="0" w:space="0" w:color="auto"/>
              </w:divBdr>
            </w:div>
          </w:divsChild>
        </w:div>
        <w:div w:id="788552291">
          <w:marLeft w:val="0"/>
          <w:marRight w:val="0"/>
          <w:marTop w:val="0"/>
          <w:marBottom w:val="0"/>
          <w:divBdr>
            <w:top w:val="none" w:sz="0" w:space="0" w:color="auto"/>
            <w:left w:val="none" w:sz="0" w:space="0" w:color="auto"/>
            <w:bottom w:val="none" w:sz="0" w:space="0" w:color="auto"/>
            <w:right w:val="none" w:sz="0" w:space="0" w:color="auto"/>
          </w:divBdr>
          <w:divsChild>
            <w:div w:id="715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https://med.libretexts.org/Bookshelves/Nutrition/Book%3A_Intermediate_Nutrition_(Lindshield)/12%3A_Blood%2C_Bones%2C_and_Teeth_Micronutrients/12.1%3A_Vitamin_D/12.1F%3A_Vitamin_D_Deficiency%2C_Toxicity_and_Insufficien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2020-05-22T15:03:00Z</dcterms:created>
  <dcterms:modified xsi:type="dcterms:W3CDTF">2020-05-22T15:03:00Z</dcterms:modified>
</cp:coreProperties>
</file>