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
<Relationships xmlns="http://schemas.openxmlformats.org/package/2006/relationships"><Relationship Id="rId1" Type="http://schemas.openxmlformats.org/package/2006/relationships/metadata/core-properties" Target="docProps/core.xml"></Relationship><Relationship Id="rId2" Type="http://schemas.openxmlformats.org/officeDocument/2006/relationships/extended-properties" Target="docProps/app.xml"></Relationship><Relationship Id="rId3" Type="http://schemas.openxmlformats.org/officeDocument/2006/relationships/officeDocument" Target="word/document.xml"></Relationship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 xmlns:w15="http://schemas.microsoft.com/office/word/2012/wordml" xmlns:wpi="http://schemas.microsoft.com/office/word/2010/wordprocessingInk" xmlns:w16cid="http://schemas.microsoft.com/office/word/2016/wordml/cid" xmlns:am3d="http://schemas.microsoft.com/office/drawing/2017/model3d" xmlns:w16se="http://schemas.microsoft.com/office/word/2015/wordml/symex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mc:Ignorable="w14 wp14">
  <w:body>
    <w:p>
      <w:pPr>
        <w:jc w:val="both"/>
        <w:spacing w:lineRule="auto" w:line="259" w:after="160"/>
        <w:rPr>
          <w:color w:val="auto"/>
          <w:sz w:val="22"/>
          <w:szCs w:val="22"/>
          <w:rFonts w:ascii="NanumGothic" w:eastAsia="NanumGothic" w:hAnsi="NanumGothic" w:cs="NanumGothic"/>
        </w:rPr>
        <w:autoSpaceDE w:val="0"/>
        <w:autoSpaceDN w:val="0"/>
      </w:pPr>
      <w:r>
        <w:rPr>
          <w:color w:val="auto"/>
          <w:sz w:val="22"/>
          <w:szCs w:val="22"/>
          <w:rFonts w:ascii="NanumGothic" w:eastAsia="NanumGothic" w:hAnsi="NanumGothic" w:cs="NanumGothic"/>
        </w:rPr>
        <w:t xml:space="preserve">Name: IBEZIM, EMILY CHIKA</w:t>
      </w:r>
    </w:p>
    <w:p>
      <w:pPr>
        <w:jc w:val="both"/>
        <w:spacing w:lineRule="auto" w:line="259" w:after="160"/>
        <w:rPr>
          <w:color w:val="auto"/>
          <w:sz w:val="22"/>
          <w:szCs w:val="22"/>
          <w:rFonts w:ascii="NanumGothic" w:eastAsia="NanumGothic" w:hAnsi="NanumGothic" w:cs="NanumGothic"/>
        </w:rPr>
        <w:autoSpaceDE w:val="0"/>
        <w:autoSpaceDN w:val="0"/>
      </w:pPr>
      <w:r>
        <w:rPr>
          <w:color w:val="auto"/>
          <w:sz w:val="22"/>
          <w:szCs w:val="22"/>
          <w:rFonts w:ascii="NanumGothic" w:eastAsia="NanumGothic" w:hAnsi="NanumGothic" w:cs="NanumGothic"/>
        </w:rPr>
        <w:t xml:space="preserve">Matric Number: 17/mhs01/143</w:t>
      </w:r>
    </w:p>
    <w:p>
      <w:pPr>
        <w:jc w:val="both"/>
        <w:spacing w:lineRule="auto" w:line="259" w:after="160"/>
        <w:rPr>
          <w:color w:val="auto"/>
          <w:sz w:val="22"/>
          <w:szCs w:val="22"/>
          <w:rFonts w:ascii="NanumGothic" w:eastAsia="NanumGothic" w:hAnsi="NanumGothic" w:cs="NanumGothic"/>
        </w:rPr>
        <w:autoSpaceDE w:val="0"/>
        <w:autoSpaceDN w:val="0"/>
      </w:pPr>
      <w:r>
        <w:rPr>
          <w:color w:val="auto"/>
          <w:sz w:val="22"/>
          <w:szCs w:val="22"/>
          <w:rFonts w:ascii="NanumGothic" w:eastAsia="NanumGothic" w:hAnsi="NanumGothic" w:cs="NanumGothic"/>
        </w:rPr>
        <w:t xml:space="preserve">Level: 300</w:t>
      </w:r>
    </w:p>
    <w:p>
      <w:pPr>
        <w:jc w:val="both"/>
        <w:spacing w:lineRule="auto" w:line="259" w:after="160"/>
        <w:rPr>
          <w:color w:val="auto"/>
          <w:sz w:val="22"/>
          <w:szCs w:val="22"/>
          <w:rFonts w:ascii="NanumGothic" w:eastAsia="NanumGothic" w:hAnsi="NanumGothic" w:cs="NanumGothic"/>
        </w:rPr>
        <w:autoSpaceDE w:val="0"/>
        <w:autoSpaceDN w:val="0"/>
      </w:pPr>
      <w:r>
        <w:rPr>
          <w:color w:val="auto"/>
          <w:sz w:val="22"/>
          <w:szCs w:val="22"/>
          <w:rFonts w:ascii="NanumGothic" w:eastAsia="NanumGothic" w:hAnsi="NanumGothic" w:cs="NanumGothic"/>
        </w:rPr>
        <w:t xml:space="preserve">Department: Medicine and Surgery </w:t>
      </w:r>
    </w:p>
    <w:p>
      <w:pPr>
        <w:jc w:val="both"/>
        <w:spacing w:lineRule="auto" w:line="259" w:after="160"/>
        <w:rPr>
          <w:color w:val="auto"/>
          <w:sz w:val="22"/>
          <w:szCs w:val="22"/>
          <w:rFonts w:ascii="NanumGothic" w:eastAsia="NanumGothic" w:hAnsi="NanumGothic" w:cs="NanumGothic"/>
        </w:rPr>
        <w:autoSpaceDE w:val="0"/>
        <w:autoSpaceDN w:val="0"/>
      </w:pPr>
      <w:r>
        <w:rPr>
          <w:color w:val="auto"/>
          <w:sz w:val="22"/>
          <w:szCs w:val="22"/>
          <w:rFonts w:ascii="NanumGothic" w:eastAsia="NanumGothic" w:hAnsi="NanumGothic" w:cs="NanumGothic"/>
        </w:rPr>
        <w:t xml:space="preserve">Course Title: Renal Physiology, Body Fluid and Temperature Regulation </w:t>
      </w:r>
    </w:p>
    <w:p>
      <w:pPr>
        <w:jc w:val="both"/>
        <w:spacing w:lineRule="auto" w:line="259" w:after="160"/>
        <w:rPr>
          <w:color w:val="auto"/>
          <w:sz w:val="22"/>
          <w:szCs w:val="22"/>
          <w:rFonts w:ascii="NanumGothic" w:eastAsia="NanumGothic" w:hAnsi="NanumGothic" w:cs="NanumGothic"/>
        </w:rPr>
        <w:autoSpaceDE w:val="0"/>
        <w:autoSpaceDN w:val="0"/>
      </w:pPr>
      <w:r>
        <w:rPr>
          <w:color w:val="auto"/>
          <w:sz w:val="22"/>
          <w:szCs w:val="22"/>
          <w:rFonts w:ascii="NanumGothic" w:eastAsia="NanumGothic" w:hAnsi="NanumGothic" w:cs="NanumGothic"/>
        </w:rPr>
        <w:t xml:space="preserve">Course Code: PHS 303</w:t>
      </w:r>
    </w:p>
    <w:p>
      <w:pPr>
        <w:jc w:val="both"/>
        <w:spacing w:lineRule="auto" w:line="259" w:after="160"/>
        <w:rPr>
          <w:color w:val="auto"/>
          <w:sz w:val="22"/>
          <w:szCs w:val="22"/>
          <w:rFonts w:ascii="NanumGothic" w:eastAsia="NanumGothic" w:hAnsi="NanumGothic" w:cs="NanumGothic"/>
        </w:rPr>
        <w:autoSpaceDE w:val="0"/>
        <w:autoSpaceDN w:val="0"/>
      </w:pPr>
    </w:p>
    <w:p>
      <w:pPr>
        <w:jc w:val="both"/>
        <w:spacing w:lineRule="auto" w:line="259" w:after="160"/>
        <w:rPr>
          <w:b w:val="1"/>
          <w:color w:val="auto"/>
          <w:sz w:val="22"/>
          <w:szCs w:val="22"/>
          <w:u w:val="single"/>
          <w:rFonts w:ascii="NanumGothic" w:eastAsia="NanumGothic" w:hAnsi="NanumGothic" w:cs="NanumGothic"/>
        </w:rPr>
        <w:autoSpaceDE w:val="0"/>
        <w:autoSpaceDN w:val="0"/>
      </w:pPr>
      <w:r>
        <w:rPr>
          <w:b w:val="1"/>
          <w:color w:val="auto"/>
          <w:sz w:val="22"/>
          <w:szCs w:val="22"/>
          <w:u w:val="single"/>
          <w:rFonts w:ascii="NanumGothic" w:eastAsia="NanumGothic" w:hAnsi="NanumGothic" w:cs="NanumGothic"/>
        </w:rPr>
        <w:t xml:space="preserve">QUESTION </w:t>
      </w:r>
    </w:p>
    <w:p>
      <w:pPr>
        <w:jc w:val="both"/>
        <w:spacing w:lineRule="auto" w:line="259" w:after="16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1. Discuss the role of kidney in glucose homeostasis</w:t>
      </w:r>
    </w:p>
    <w:p>
      <w:pPr>
        <w:jc w:val="both"/>
        <w:spacing w:lineRule="auto" w:line="259" w:after="16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2. Discuss the process of micturition</w:t>
      </w:r>
    </w:p>
    <w:p>
      <w:pPr>
        <w:jc w:val="both"/>
        <w:spacing w:lineRule="auto" w:line="259" w:after="16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3. Explain juxtaglomerular apparatus</w:t>
      </w:r>
    </w:p>
    <w:p>
      <w:pPr>
        <w:jc w:val="both"/>
        <w:spacing w:lineRule="auto" w:line="259" w:after="16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4. Discuss the role of kidney in regulation of blood pressure</w:t>
      </w:r>
    </w:p>
    <w:p>
      <w:pPr>
        <w:jc w:val="both"/>
        <w:spacing w:lineRule="auto" w:line="259" w:after="16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5. Discuss the role of kidney in Calcium homeostasis</w:t>
      </w:r>
    </w:p>
    <w:p>
      <w:pPr>
        <w:jc w:val="both"/>
        <w:spacing w:lineRule="auto" w:line="259" w:after="16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</w:p>
    <w:p>
      <w:pPr>
        <w:jc w:val="both"/>
        <w:spacing w:lineRule="auto" w:line="259" w:after="160"/>
        <w:rPr>
          <w:b w:val="1"/>
          <w:color w:val="auto"/>
          <w:sz w:val="22"/>
          <w:szCs w:val="22"/>
          <w:u w:val="single"/>
          <w:rFonts w:ascii="NanumGothic" w:eastAsia="NanumGothic" w:hAnsi="NanumGothic" w:cs="NanumGothic"/>
        </w:rPr>
        <w:autoSpaceDE w:val="0"/>
        <w:autoSpaceDN w:val="0"/>
      </w:pPr>
      <w:r>
        <w:rPr>
          <w:b w:val="1"/>
          <w:color w:val="auto"/>
          <w:sz w:val="22"/>
          <w:szCs w:val="22"/>
          <w:u w:val="single"/>
          <w:rFonts w:ascii="NanumGothic" w:eastAsia="NanumGothic" w:hAnsi="NanumGothic" w:cs="NanumGothic"/>
        </w:rPr>
        <w:t>SOLUTION</w:t>
      </w:r>
    </w:p>
    <w:p>
      <w:pPr>
        <w:jc w:val="both"/>
        <w:spacing w:lineRule="auto" w:line="259" w:after="160"/>
        <w:rPr>
          <w:b w:val="1"/>
          <w:color w:val="auto"/>
          <w:sz w:val="22"/>
          <w:szCs w:val="22"/>
          <w:u w:val="single"/>
          <w:rFonts w:ascii="NanumGothic" w:eastAsia="NanumGothic" w:hAnsi="NanumGothic" w:cs="NanumGothic"/>
        </w:rPr>
        <w:autoSpaceDE w:val="0"/>
        <w:autoSpaceDN w:val="0"/>
      </w:pPr>
    </w:p>
    <w:p>
      <w:pPr>
        <w:jc w:val="both"/>
        <w:spacing w:lineRule="auto" w:line="259" w:after="160"/>
        <w:rPr>
          <w:b w:val="1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1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1. </w:t>
      </w:r>
      <w:r>
        <w:rPr>
          <w:b w:val="1"/>
          <w:color w:val="auto"/>
          <w:sz w:val="22"/>
          <w:szCs w:val="22"/>
          <w:u w:val="single"/>
          <w:rFonts w:ascii="NanumGothic" w:eastAsia="NanumGothic" w:hAnsi="NanumGothic" w:cs="NanumGothic"/>
        </w:rPr>
        <w:t xml:space="preserve">ROLE OF KIDNEY IN GLUCOSE HOMEOSTASIS </w:t>
      </w:r>
    </w:p>
    <w:p>
      <w:pPr>
        <w:numPr>
          <w:ilvl w:val="0"/>
          <w:numId w:val="1"/>
        </w:numPr>
        <w:jc w:val="both"/>
        <w:spacing w:lineRule="auto" w:line="259" w:after="160"/>
        <w:rPr>
          <w:b w:val="1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1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THE KIDNEY</w:t>
      </w:r>
    </w:p>
    <w:p>
      <w:pPr>
        <w:jc w:val="both"/>
        <w:spacing w:lineRule="auto" w:line="259" w:after="160"/>
        <w:rPr>
          <w:b w:val="1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The kidneys are a very important organ in the body. They are two bean-shaped organs,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each about the size of a fist, located just below the rib cage, one on each side of your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spine. One of the functions of the kidney is to get rid of waste products, drugs, and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toxins through our urine.</w:t>
      </w:r>
    </w:p>
    <w:p>
      <w:pPr>
        <w:numPr>
          <w:ilvl w:val="0"/>
          <w:numId w:val="3"/>
        </w:numPr>
        <w:jc w:val="both"/>
        <w:spacing w:lineRule="auto" w:line="259" w:after="160"/>
        <w:rPr>
          <w:b w:val="1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1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THE KIDNEY’S ROLE IN GLUCOSE HOMEOSTASIS </w:t>
      </w:r>
    </w:p>
    <w:p>
      <w:pPr>
        <w:numPr>
          <w:ilvl w:val="0"/>
          <w:numId w:val="0"/>
        </w:numPr>
        <w:jc w:val="both"/>
        <w:spacing w:lineRule="auto" w:line="259" w:after="160"/>
        <w:ind w:left="0" w:right="0" w:firstLine="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The maintenance of normal glucose homeostasis requires a complex, highly integrated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interaction among the liver, muscle, adipocytes, pancreas and neuroendocrine system.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Recent studies have showed that the kidneys also play a central role in glucose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homeostasis, both in the post-absorptive and postprandial period. Kidney produces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glucose by gluconeogenesis in the renal cortex and uses glucose for covering energy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needs of the medulla. Kidney participates also to the reabsorption of filtered glucose, an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adaptive mechanism that ensures sufficient energy is available during fasting periods, in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order the terminal urine was devoided of glucose, as long as blood glucose did not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exceed 180mg/dL. In orther words, the kidneys’ contributions to maintaining glucose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homeostasis are significant and include such functions as release of glucose into the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circulation via gluconeogenesis, uptake of glucose from the circulation to satisfy their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energy needs, and reabsorption of glucose at the level of the proximal tubule.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Reabsorption of glucose is mediated by sodium-glucose cotransporters (SGLT1 et SGLT2)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expressed in S1 and S3 segments of proximal tubule. SGLT2 is the main sodium-glucose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cotransporter responsible for 90% of glucose reabsorption.</w:t>
      </w:r>
    </w:p>
    <w:p>
      <w:pPr>
        <w:numPr>
          <w:ilvl w:val="0"/>
          <w:numId w:val="0"/>
        </w:numPr>
        <w:jc w:val="both"/>
        <w:spacing w:lineRule="auto" w:line="259" w:after="160"/>
        <w:ind w:left="0" w:right="0" w:firstLine="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In the case of diabetes, specifically, in type 2 diabetics, renal gluconeogenesis and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glucose utilisation are increased by 30%. Surprisingly, renal glucose reabsorption is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increased, participating to worsening of hyperglycemia. This results from the increase in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the renal threshhold of glucose reabsorption (220mg/dL) and from an overexpression of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SGLT2 in response to hyperglycemia and of cytokine secretion. The administration of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SGLT2 inhibitors to type 2 diabetic patients induced a decreased in the renal threshhold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of glucose reabsorption (80mg/dL) and strongly reduced kidney glucose reabsorption.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The inhibitors of SGLT2 are the only antidiabetic molecules able to correct the excessive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renal glucose reabsorption in type 2 diabetics and thus to contribute, by an original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mechanism, to the lowering of blood glucose level. </w:t>
      </w:r>
    </w:p>
    <w:p>
      <w:pPr>
        <w:numPr>
          <w:ilvl w:val="0"/>
          <w:numId w:val="0"/>
        </w:numPr>
        <w:jc w:val="both"/>
        <w:spacing w:lineRule="auto" w:line="259" w:after="160"/>
        <w:ind w:left="0" w:right="0" w:firstLine="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</w:p>
    <w:p>
      <w:pPr>
        <w:numPr>
          <w:ilvl w:val="0"/>
          <w:numId w:val="0"/>
        </w:numPr>
        <w:jc w:val="both"/>
        <w:spacing w:lineRule="auto" w:line="259" w:after="160"/>
        <w:ind w:left="0" w:right="0" w:firstLine="0"/>
        <w:rPr>
          <w:b w:val="1"/>
          <w:color w:val="auto"/>
          <w:sz w:val="22"/>
          <w:szCs w:val="22"/>
          <w:u w:val="single"/>
          <w:rFonts w:ascii="NanumGothic" w:eastAsia="NanumGothic" w:hAnsi="NanumGothic" w:cs="NanumGothic"/>
        </w:rPr>
        <w:autoSpaceDE w:val="0"/>
        <w:autoSpaceDN w:val="0"/>
      </w:pPr>
      <w:r>
        <w:rPr>
          <w:b w:val="1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2. </w:t>
      </w:r>
      <w:r>
        <w:rPr>
          <w:b w:val="1"/>
          <w:color w:val="auto"/>
          <w:sz w:val="22"/>
          <w:szCs w:val="22"/>
          <w:u w:val="single"/>
          <w:rFonts w:ascii="NanumGothic" w:eastAsia="NanumGothic" w:hAnsi="NanumGothic" w:cs="NanumGothic"/>
        </w:rPr>
        <w:t xml:space="preserve">THE PROCESS OF MICTURITION</w:t>
      </w:r>
    </w:p>
    <w:p>
      <w:pPr>
        <w:numPr>
          <w:ilvl w:val="0"/>
          <w:numId w:val="0"/>
        </w:numPr>
        <w:jc w:val="both"/>
        <w:spacing w:lineRule="auto" w:line="259" w:after="160"/>
        <w:ind w:left="0" w:right="0" w:firstLine="0"/>
        <w:rPr>
          <w:b w:val="1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1"/>
          <w:color w:val="auto"/>
          <w:sz w:val="22"/>
          <w:szCs w:val="22"/>
          <w:u w:val="none"/>
          <w:rFonts w:ascii="NanumGothic" w:eastAsia="NanumGothic" w:hAnsi="NanumGothic" w:cs="NanumGothic"/>
        </w:rPr>
        <w:t>MICTURITION</w:t>
      </w:r>
    </w:p>
    <w:p>
      <w:pPr>
        <w:numPr>
          <w:ilvl w:val="0"/>
          <w:numId w:val="0"/>
        </w:numPr>
        <w:jc w:val="both"/>
        <w:spacing w:lineRule="auto" w:line="259" w:after="160"/>
        <w:ind w:left="0" w:right="0" w:firstLine="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Micturition or urination is the process of expelling urine from the bladder. This act is also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known as voiding of the bladder. The process of micturition is regulated by the nervous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system and the muscles of the bladder and urethra. The urinary bladder can store around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350-400ml of urine before it expels it out.</w:t>
      </w:r>
    </w:p>
    <w:p>
      <w:pPr>
        <w:numPr>
          <w:ilvl w:val="0"/>
          <w:numId w:val="0"/>
        </w:numPr>
        <w:jc w:val="both"/>
        <w:spacing w:lineRule="auto" w:line="259" w:after="160"/>
        <w:ind w:left="0" w:right="0" w:firstLine="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We depend on micturition (urination) to eliminate organic waste products, which are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produced as a result of cell metabolism in the body. The urinary system also regulates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the concentrations of sodium, potassium, chloride and other ions in the blood as well as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helping to maintain normal blood pH, blood pressure and blood volume. The urinary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system in humans includes a pair of kidneys, two ureters, a urinary bladder and a urethra.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The kidneys filter the urine and it is transported to the urinary bladder via the ureters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where it is stored till its expulsion. </w:t>
      </w:r>
    </w:p>
    <w:p>
      <w:pPr>
        <w:numPr>
          <w:ilvl w:val="0"/>
          <w:numId w:val="0"/>
        </w:numPr>
        <w:jc w:val="both"/>
        <w:spacing w:lineRule="auto" w:line="259" w:after="160"/>
        <w:ind w:left="0" w:right="0" w:firstLine="0"/>
        <w:rPr>
          <w:b w:val="1"/>
          <w:color w:val="auto"/>
          <w:sz w:val="22"/>
          <w:szCs w:val="22"/>
          <w:u w:val="single"/>
          <w:rFonts w:ascii="NanumGothic" w:eastAsia="NanumGothic" w:hAnsi="NanumGothic" w:cs="NanumGothic"/>
        </w:rPr>
        <w:autoSpaceDE w:val="0"/>
        <w:autoSpaceDN w:val="0"/>
      </w:pPr>
    </w:p>
    <w:p>
      <w:pPr>
        <w:numPr>
          <w:ilvl w:val="0"/>
          <w:numId w:val="0"/>
        </w:numPr>
        <w:jc w:val="both"/>
        <w:spacing w:lineRule="auto" w:line="259" w:after="160"/>
        <w:ind w:left="0" w:right="0" w:firstLine="0"/>
        <w:rPr>
          <w:b w:val="1"/>
          <w:color w:val="auto"/>
          <w:sz w:val="22"/>
          <w:szCs w:val="22"/>
          <w:u w:val="single"/>
          <w:rFonts w:ascii="NanumGothic" w:eastAsia="NanumGothic" w:hAnsi="NanumGothic" w:cs="NanumGothic"/>
        </w:rPr>
        <w:autoSpaceDE w:val="0"/>
        <w:autoSpaceDN w:val="0"/>
      </w:pPr>
      <w:r>
        <w:rPr>
          <w:b w:val="1"/>
          <w:color w:val="auto"/>
          <w:sz w:val="22"/>
          <w:szCs w:val="22"/>
          <w:u w:val="single"/>
          <w:rFonts w:ascii="NanumGothic" w:eastAsia="NanumGothic" w:hAnsi="NanumGothic" w:cs="NanumGothic"/>
        </w:rPr>
        <w:t xml:space="preserve">The Process of Micturition </w:t>
      </w:r>
    </w:p>
    <w:p>
      <w:pPr>
        <w:numPr>
          <w:ilvl w:val="0"/>
          <w:numId w:val="0"/>
        </w:numPr>
        <w:jc w:val="both"/>
        <w:spacing w:lineRule="auto" w:line="259" w:after="160"/>
        <w:ind w:left="0" w:right="0" w:firstLine="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sz w:val="20"/>
        </w:rPr>
        <w:drawing>
          <wp:inline distT="0" distB="0" distL="0" distR="0">
            <wp:extent cx="3774440" cy="5450840"/>
            <wp:effectExtent l="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/var/mobile/Containers/Data/Application/F5A3624A-C5C7-4909-93FC-7C68D305960D/tmp/_d/fImage16914811771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5075" cy="5451475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spacing w:lineRule="auto" w:line="259" w:after="160"/>
        <w:ind w:left="0" w:right="0" w:firstLine="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</w:p>
    <w:p>
      <w:pPr>
        <w:numPr>
          <w:ilvl w:val="0"/>
          <w:numId w:val="0"/>
        </w:numPr>
        <w:jc w:val="both"/>
        <w:spacing w:lineRule="auto" w:line="259" w:after="160"/>
        <w:ind w:left="0" w:right="0" w:firstLine="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As mentioned earlier, the process of micturition is governed by both the nervous and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muscular systems. Within the nervous system, the process is governed by the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autonomous nervous system and the somatic system. Once the urinary bladder reaches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its maximum capacity, the stretch receptors in the walls of the bladder send an impulse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via the pelvic nerve to the brain via the spinal cord.</w:t>
      </w:r>
    </w:p>
    <w:p>
      <w:pPr>
        <w:numPr>
          <w:ilvl w:val="0"/>
          <w:numId w:val="0"/>
        </w:numPr>
        <w:jc w:val="both"/>
        <w:spacing w:lineRule="auto" w:line="259" w:after="160"/>
        <w:ind w:left="0" w:right="0" w:firstLine="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The micturition reflex is ultimately generated from the level of the spinal cord after it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receives reflexes from the pontine region in the brain. Once the bladder and the urethra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receive the signals to empty the bladder, the two sphincters relax and the detrusor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muscle causes the contractions of the bladder.</w:t>
      </w:r>
    </w:p>
    <w:p>
      <w:pPr>
        <w:numPr>
          <w:ilvl w:val="0"/>
          <w:numId w:val="0"/>
        </w:numPr>
        <w:jc w:val="both"/>
        <w:spacing w:lineRule="auto" w:line="259" w:after="160"/>
        <w:ind w:left="0" w:right="0" w:firstLine="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</w:p>
    <w:p>
      <w:pPr>
        <w:numPr>
          <w:ilvl w:val="0"/>
          <w:numId w:val="0"/>
        </w:numPr>
        <w:jc w:val="both"/>
        <w:spacing w:lineRule="auto" w:line="259" w:after="160"/>
        <w:ind w:left="0" w:right="0" w:firstLine="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Along with these muscles, the muscles of the abdomen also play a role by putting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pressure on the bladder wall. This leads to complete emptying of the bladder.</w:t>
      </w:r>
    </w:p>
    <w:p>
      <w:pPr>
        <w:numPr>
          <w:ilvl w:val="0"/>
          <w:numId w:val="0"/>
        </w:numPr>
        <w:jc w:val="both"/>
        <w:spacing w:lineRule="auto" w:line="259" w:after="160"/>
        <w:ind w:left="0" w:right="0" w:firstLine="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</w:p>
    <w:p>
      <w:pPr>
        <w:numPr>
          <w:ilvl w:val="0"/>
          <w:numId w:val="0"/>
        </w:numPr>
        <w:jc w:val="both"/>
        <w:spacing w:lineRule="auto" w:line="259" w:after="160"/>
        <w:ind w:left="0" w:right="0" w:firstLine="0"/>
        <w:rPr>
          <w:b w:val="1"/>
          <w:color w:val="auto"/>
          <w:sz w:val="22"/>
          <w:szCs w:val="22"/>
          <w:u w:val="single"/>
          <w:rFonts w:ascii="NanumGothic" w:eastAsia="NanumGothic" w:hAnsi="NanumGothic" w:cs="NanumGothic"/>
        </w:rPr>
        <w:autoSpaceDE w:val="0"/>
        <w:autoSpaceDN w:val="0"/>
      </w:pPr>
      <w:r>
        <w:rPr>
          <w:b w:val="1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3. </w:t>
      </w:r>
      <w:r>
        <w:rPr>
          <w:b w:val="1"/>
          <w:color w:val="auto"/>
          <w:sz w:val="22"/>
          <w:szCs w:val="22"/>
          <w:u w:val="single"/>
          <w:rFonts w:ascii="NanumGothic" w:eastAsia="NanumGothic" w:hAnsi="NanumGothic" w:cs="NanumGothic"/>
        </w:rPr>
        <w:t xml:space="preserve">JUXTAGLOMERULAR APPARATUS</w:t>
      </w:r>
    </w:p>
    <w:p>
      <w:pPr>
        <w:numPr>
          <w:ilvl w:val="0"/>
          <w:numId w:val="0"/>
        </w:numPr>
        <w:jc w:val="both"/>
        <w:spacing w:lineRule="auto" w:line="259" w:after="160"/>
        <w:ind w:left="0" w:right="0" w:firstLine="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The juxtaglomerular apparatus is a specialized structure formed by the distal convoluted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tubule and the glomerular afferent arteriole. It is located near the vascular pole of the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glomerulus and its main function is to regulate blood pressure and the filtration rate of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the glomerulus.</w:t>
      </w:r>
    </w:p>
    <w:p>
      <w:pPr>
        <w:numPr>
          <w:ilvl w:val="0"/>
          <w:numId w:val="0"/>
        </w:numPr>
        <w:jc w:val="both"/>
        <w:spacing w:lineRule="auto" w:line="259" w:after="160"/>
        <w:ind w:left="0" w:right="0" w:firstLine="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The juxtaglomerular apparatus of the kidney serves as a intrarenal baroreceptor that is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composed of four basic elements: the terminal portion of the afferent arteriole, the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macula densa (a segment of the distal tubule), the extraglomerular mesangial region,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and the efferent arteriole at the glomerulus. Because of its location in the nephron, it is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highly sensitive to changes in volume as induced by various diuretic classes, and thus it is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sensitive to changes in kidney perfusion pressure. The juxtaglomerular apparatus is also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known to be adrenergically innervated, and has β-1 adrenoreceptors.</w:t>
      </w:r>
    </w:p>
    <w:p>
      <w:pPr>
        <w:numPr>
          <w:ilvl w:val="0"/>
          <w:numId w:val="0"/>
        </w:numPr>
        <w:jc w:val="both"/>
        <w:spacing w:lineRule="auto" w:line="259" w:after="160"/>
        <w:ind w:left="0" w:right="0" w:firstLine="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Sympathetic stimulation or decreases in volume or perfusion pressure can all stimulate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the juxtaglomerular apparatus response to release renin into the afferent arteriole. Renin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then converts angiotensinogen, which is formed in the liver, to angiotensin I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 .Angiotensin-converting enzyme converts angiotensin I to angiotensin II, which is a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potent vasoconstrictor and stimulates secretion of aldosterone from the adrenal cortex. </w:t>
      </w:r>
    </w:p>
    <w:p>
      <w:pPr>
        <w:numPr>
          <w:ilvl w:val="0"/>
          <w:numId w:val="0"/>
        </w:numPr>
        <w:jc w:val="both"/>
        <w:spacing w:lineRule="auto" w:line="259" w:after="160"/>
        <w:ind w:left="0" w:right="0" w:firstLine="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sz w:val="20"/>
        </w:rPr>
        <w:drawing>
          <wp:inline distT="0" distB="0" distL="0" distR="0">
            <wp:extent cx="4763135" cy="3572510"/>
            <wp:effectExtent l="0" t="0" r="0" b="0"/>
            <wp:docPr id="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/var/mobile/Containers/Data/Application/F5A3624A-C5C7-4909-93FC-7C68D305960D/tmp/_d/fImage2180220387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3770" cy="3573145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spacing w:lineRule="auto" w:line="259" w:after="160"/>
        <w:ind w:left="0" w:right="0" w:firstLine="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sz w:val="20"/>
        </w:rPr>
        <w:drawing>
          <wp:inline distT="0" distB="0" distL="0" distR="0">
            <wp:extent cx="5732145" cy="3902710"/>
            <wp:effectExtent l="0" t="0" r="0" b="0"/>
            <wp:docPr id="1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/var/mobile/Containers/Data/Application/F5A3624A-C5C7-4909-93FC-7C68D305960D/tmp/_d/fImage4989622229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780" cy="3903345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spacing w:lineRule="auto" w:line="259" w:after="160"/>
        <w:ind w:left="0" w:right="0" w:firstLine="0"/>
        <w:rPr>
          <w:b w:val="1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</w:p>
    <w:p>
      <w:pPr>
        <w:numPr>
          <w:ilvl w:val="0"/>
          <w:numId w:val="0"/>
        </w:numPr>
        <w:jc w:val="both"/>
        <w:spacing w:lineRule="auto" w:line="259" w:after="160"/>
        <w:ind w:left="0" w:right="0" w:firstLine="0"/>
        <w:rPr>
          <w:b w:val="1"/>
          <w:color w:val="auto"/>
          <w:sz w:val="22"/>
          <w:szCs w:val="22"/>
          <w:u w:val="single"/>
          <w:rFonts w:ascii="NanumGothic" w:eastAsia="NanumGothic" w:hAnsi="NanumGothic" w:cs="NanumGothic"/>
        </w:rPr>
        <w:autoSpaceDE w:val="0"/>
        <w:autoSpaceDN w:val="0"/>
      </w:pPr>
      <w:r>
        <w:rPr>
          <w:b w:val="1"/>
          <w:color w:val="auto"/>
          <w:sz w:val="22"/>
          <w:szCs w:val="22"/>
          <w:u w:val="none"/>
          <w:rFonts w:ascii="NanumGothic" w:eastAsia="NanumGothic" w:hAnsi="NanumGothic" w:cs="NanumGothic"/>
        </w:rPr>
        <w:t>4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. </w:t>
      </w:r>
      <w:r>
        <w:rPr>
          <w:b w:val="1"/>
          <w:color w:val="auto"/>
          <w:sz w:val="22"/>
          <w:szCs w:val="22"/>
          <w:u w:val="single"/>
          <w:rFonts w:ascii="NanumGothic" w:eastAsia="NanumGothic" w:hAnsi="NanumGothic" w:cs="NanumGothic"/>
        </w:rPr>
        <w:t xml:space="preserve">ROLE OF KIDNEY IN REGULATION OF BLOOD PRESSURE </w:t>
      </w:r>
    </w:p>
    <w:p>
      <w:pPr>
        <w:numPr>
          <w:ilvl w:val="0"/>
          <w:numId w:val="0"/>
        </w:numPr>
        <w:jc w:val="both"/>
        <w:spacing w:lineRule="auto" w:line="259" w:after="160"/>
        <w:ind w:left="0" w:right="0" w:firstLine="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The kidneys play a central role in the regulation of arterial blood pressure. </w:t>
      </w:r>
    </w:p>
    <w:p>
      <w:pPr>
        <w:numPr>
          <w:ilvl w:val="0"/>
          <w:numId w:val="0"/>
        </w:numPr>
        <w:jc w:val="both"/>
        <w:spacing w:lineRule="auto" w:line="259" w:after="160"/>
        <w:ind w:left="0" w:right="0" w:firstLine="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</w:p>
    <w:p>
      <w:pPr>
        <w:numPr>
          <w:ilvl w:val="0"/>
          <w:numId w:val="0"/>
        </w:numPr>
        <w:jc w:val="both"/>
        <w:spacing w:lineRule="auto" w:line="259" w:after="160"/>
        <w:ind w:left="0" w:right="0" w:firstLine="0"/>
        <w:rPr>
          <w:b w:val="1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1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Mechanisms of blood pressure control by the kidneys</w:t>
      </w:r>
    </w:p>
    <w:p>
      <w:pPr>
        <w:numPr>
          <w:ilvl w:val="0"/>
          <w:numId w:val="0"/>
        </w:numPr>
        <w:jc w:val="both"/>
        <w:spacing w:lineRule="auto" w:line="259" w:after="160"/>
        <w:ind w:left="0" w:right="0" w:firstLine="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>1.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ab/>
      </w:r>
      <w:r>
        <w:rPr>
          <w:b w:val="0"/>
          <w:color w:val="auto"/>
          <w:sz w:val="22"/>
          <w:szCs w:val="22"/>
          <w:u w:val="single"/>
          <w:rFonts w:ascii="NanumGothic" w:eastAsia="NanumGothic" w:hAnsi="NanumGothic" w:cs="NanumGothic"/>
        </w:rPr>
        <w:t xml:space="preserve">Intra-renal actions of the renin-angiotensin system in blood pressure control</w:t>
      </w:r>
    </w:p>
    <w:p>
      <w:pPr>
        <w:numPr>
          <w:ilvl w:val="0"/>
          <w:numId w:val="0"/>
        </w:numPr>
        <w:jc w:val="both"/>
        <w:spacing w:lineRule="auto" w:line="259" w:after="160"/>
        <w:ind w:left="0" w:right="0" w:firstLine="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The renin-angiotensin system (RAS) is a potent modulator of blood pressure, and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dysregulation of the RAS results in hypertension. Pharmacological blockade of the RAS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with renin inhibitors, angiotensin-converting enzyme (ACE) inhibitors, or angiotensin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receptor blockers effectively lowers blood pressure in a substantial proportion of patients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with hypertension, reflecting the important role for RAS activation as a cause of human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hypertension. While in rodents, deletion of RAS genes lowers blood pressure,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overexpression causes hypertension.</w:t>
      </w:r>
    </w:p>
    <w:p>
      <w:pPr>
        <w:numPr>
          <w:ilvl w:val="0"/>
          <w:numId w:val="0"/>
        </w:numPr>
        <w:jc w:val="both"/>
        <w:spacing w:lineRule="auto" w:line="259" w:after="160"/>
        <w:ind w:left="0" w:right="0" w:firstLine="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While The distal tubule cells (macula densa) sense the Na in the filtrate, and the arterial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cells (juxtaglomerular cells) sense the blood pressure. </w:t>
      </w:r>
    </w:p>
    <w:p>
      <w:pPr>
        <w:numPr>
          <w:ilvl w:val="0"/>
          <w:numId w:val="0"/>
        </w:numPr>
        <w:jc w:val="both"/>
        <w:spacing w:lineRule="auto" w:line="259" w:after="160"/>
        <w:ind w:left="0" w:right="0" w:firstLine="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In order words, Due to osmosis, water follows where Na+ leads. Much of the water the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kidneys recover from the forming urine follows the reabsorption of Na+. ADH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stimulation of aquaporin channels allows for regulation of water recovery in the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collecting ducts. Normally, all of the glucose is recovered, but loss of glucose control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(diabetes mellitus) may result in an osmotic dieresis severe enough to produce severe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dehydration and death. A loss of renal function means a loss of effective vascular volume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control, leading to hypotension (low blood pressure) or hypertension (high blood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pressure), which can lead to stroke, heart attack, and aneurysm formation.</w:t>
      </w:r>
    </w:p>
    <w:p>
      <w:pPr>
        <w:numPr>
          <w:ilvl w:val="0"/>
          <w:numId w:val="0"/>
        </w:numPr>
        <w:jc w:val="both"/>
        <w:spacing w:lineRule="auto" w:line="259" w:after="160"/>
        <w:ind w:left="0" w:right="0" w:firstLine="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</w:p>
    <w:p>
      <w:pPr>
        <w:numPr>
          <w:ilvl w:val="0"/>
          <w:numId w:val="0"/>
        </w:numPr>
        <w:jc w:val="both"/>
        <w:spacing w:lineRule="auto" w:line="259" w:after="160"/>
        <w:ind w:left="0" w:right="0" w:firstLine="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sz w:val="20"/>
        </w:rPr>
        <w:drawing>
          <wp:inline distT="0" distB="0" distL="0" distR="0">
            <wp:extent cx="5732145" cy="5003165"/>
            <wp:effectExtent l="0" t="0" r="0" b="0"/>
            <wp:docPr id="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/var/mobile/Containers/Data/Application/F5A3624A-C5C7-4909-93FC-7C68D305960D/tmp/_d/fImage27847617972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780" cy="5003800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spacing w:lineRule="auto" w:line="259" w:after="160"/>
        <w:ind w:left="0" w:right="0" w:firstLine="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Figure 1. The Enzyme Renin Converts the Pro-enzyme Angiotensin</w:t>
      </w:r>
    </w:p>
    <w:p>
      <w:pPr>
        <w:numPr>
          <w:ilvl w:val="0"/>
          <w:numId w:val="0"/>
        </w:numPr>
        <w:jc w:val="both"/>
        <w:spacing w:lineRule="auto" w:line="259" w:after="160"/>
        <w:ind w:left="0" w:right="0" w:firstLine="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The kidneys cooperate with the lungs, liver, and adrenal cortex through the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renin–angiotensin–aldosterone system. The liver synthesizes and secretes the inactive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precursor angiotensinogen. When the blood pressure is low, the kidney synthesizes and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releases renin. Renin converts angiotensinogen into angiotensin I, and ACE produced in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the lung converts angiotensin I into biologically active angiotensin II. The immediate and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short-term effect of angiotensin II is to raise blood pressure by causing widespread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vasoconstriction. angiotensin II also stimulates the adrenal cortex to release the steroid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hormone aldosterone, which results in renal reabsorption of Na+ and its associated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osmotic recovery of water. The reabsorption of Na+ helps to raise and maintain blood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pressure over a longer term.</w:t>
      </w:r>
    </w:p>
    <w:p>
      <w:pPr>
        <w:numPr>
          <w:ilvl w:val="0"/>
          <w:numId w:val="0"/>
        </w:numPr>
        <w:jc w:val="both"/>
        <w:spacing w:lineRule="auto" w:line="259" w:after="160"/>
        <w:ind w:left="0" w:right="0" w:firstLine="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sz w:val="20"/>
        </w:rPr>
        <w:drawing>
          <wp:inline distT="0" distB="0" distL="0" distR="0">
            <wp:extent cx="5732780" cy="4132580"/>
            <wp:effectExtent l="0" t="0" r="0" b="0"/>
            <wp:docPr id="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/var/mobile/Containers/Data/Application/F5A3624A-C5C7-4909-93FC-7C68D305960D/tmp/_d/fImage21864413335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133215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spacing w:lineRule="auto" w:line="259" w:after="160"/>
        <w:ind w:left="0" w:right="0" w:firstLine="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</w:p>
    <w:p>
      <w:pPr>
        <w:numPr>
          <w:ilvl w:val="0"/>
          <w:numId w:val="0"/>
        </w:numPr>
        <w:jc w:val="both"/>
        <w:spacing w:lineRule="auto" w:line="259" w:after="160"/>
        <w:ind w:left="0" w:right="0" w:firstLine="0"/>
        <w:rPr>
          <w:b w:val="1"/>
          <w:color w:val="auto"/>
          <w:sz w:val="22"/>
          <w:szCs w:val="22"/>
          <w:u w:val="single"/>
          <w:rFonts w:ascii="NanumGothic" w:eastAsia="NanumGothic" w:hAnsi="NanumGothic" w:cs="NanumGothic"/>
        </w:rPr>
        <w:autoSpaceDE w:val="0"/>
        <w:autoSpaceDN w:val="0"/>
      </w:pPr>
      <w:r>
        <w:rPr>
          <w:b w:val="1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5. </w:t>
      </w:r>
      <w:r>
        <w:rPr>
          <w:b w:val="1"/>
          <w:color w:val="auto"/>
          <w:sz w:val="22"/>
          <w:szCs w:val="22"/>
          <w:u w:val="single"/>
          <w:rFonts w:ascii="NanumGothic" w:eastAsia="NanumGothic" w:hAnsi="NanumGothic" w:cs="NanumGothic"/>
        </w:rPr>
        <w:t xml:space="preserve">ROLE OF KIDNEY IN CALCIUM HOMEOSTASIS </w:t>
      </w:r>
    </w:p>
    <w:p>
      <w:pPr>
        <w:numPr>
          <w:ilvl w:val="0"/>
          <w:numId w:val="0"/>
        </w:numPr>
        <w:jc w:val="both"/>
        <w:spacing w:lineRule="auto" w:line="259" w:after="160"/>
        <w:ind w:left="0" w:right="0" w:firstLine="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Calcium is the most abundant mineral found in the body. The maintenance of calcium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homeostasis is very important because calcium is the main component of bony skeleton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and serves as the intracellular and extracellular messenger in numerous essential cellular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events such as neuronal network, immune response, muscle contraction, and hormone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secretion. About 99 percent of the calcium in the body is in bones and teeth. The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remaining 1 percent is found in blood and soft tissues.</w:t>
      </w:r>
    </w:p>
    <w:p>
      <w:pPr>
        <w:numPr>
          <w:ilvl w:val="0"/>
          <w:numId w:val="0"/>
        </w:numPr>
        <w:jc w:val="both"/>
        <w:spacing w:lineRule="auto" w:line="259" w:after="160"/>
        <w:ind w:left="0" w:right="0" w:firstLine="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The kidney is critcally important in calcium homeostasis. Under normal blood calcium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concentrations, almost all of the calcium that enters glomerular filtrate is reabsorbed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from the tubular system back into blood, which preserves blood calcium levels. If tubular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reabsorption of calcium decreases, calcium is lost by excretion into urine. Vitamin D and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parathyroid hormone (PTH) help regulate how much calcium is absorbed and how much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calcium the kidneys eliminate. Healthy kidneys turn vitamin D into an active hormone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(calcitriol), which helps increase calcium absorption from the intestines into the blood.</w:t>
      </w:r>
    </w:p>
    <w:p>
      <w:pPr>
        <w:numPr>
          <w:ilvl w:val="0"/>
          <w:numId w:val="0"/>
        </w:numPr>
        <w:jc w:val="both"/>
        <w:spacing w:lineRule="auto" w:line="259" w:after="160"/>
        <w:ind w:left="0" w:right="0" w:firstLine="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sz w:val="20"/>
        </w:rPr>
        <w:drawing>
          <wp:inline distT="0" distB="0" distL="0" distR="0">
            <wp:extent cx="3788410" cy="2420620"/>
            <wp:effectExtent l="0" t="0" r="0" b="0"/>
            <wp:docPr id="1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/var/mobile/Containers/Data/Application/F5A3624A-C5C7-4909-93FC-7C68D305960D/tmp/_d/fImage712124386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9045" cy="2421255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spacing w:lineRule="auto" w:line="259" w:after="160"/>
        <w:ind w:left="0" w:right="0" w:firstLine="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Schematic of the kidney’s role in calcium homeostasis.</w:t>
      </w:r>
    </w:p>
    <w:sectPr>
      <w:footnotePr>
        <w:numFmt w:val="decimal"/>
        <w:numRestart w:val="continuous"/>
        <w:numStart w:val="1"/>
        <w:pos w:val="pageBottom"/>
      </w:footnotePr>
      <w:endnotePr>
        <w:numFmt w:val="lowerRoman"/>
        <w:numRestart w:val="continuous"/>
        <w:numStart w:val="1"/>
        <w:pos w:val="docEnd"/>
      </w:endnotePr>
      <w:pgSz w:w="11906" w:h="16838"/>
      <w:pgMar w:top="1701" w:left="1440" w:bottom="1440" w:right="1440" w:header="708" w:footer="708" w:gutter="0"/>
      <w:pgNumType w:fmt="decimal"/>
      <w:docGrid w:type="default" w:linePitch="360" w:charSpace="47104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/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>
  <w:abstractNum w:abstractNumId="0">
    <w:multiLevelType w:val="hybridMultilevel"/>
    <w:nsid w:val="2F000000"/>
    <w:tmpl w:val="1F0020D3"/>
    <w:lvl w:ilvl="0">
      <w:lvlJc w:val="left"/>
      <w:numFmt w:val="bullet"/>
      <w:start w:val="1"/>
      <w:suff w:val="tab"/>
      <w:pPr>
        <w:ind w:left="800" w:hanging="400"/>
        <w:rPr/>
      </w:pPr>
      <w:rPr>
        <w:rFonts w:ascii="Wingdings" w:eastAsia="Wingdings" w:hAnsi="Wingdings" w:cs="Wingdings"/>
      </w:rPr>
      <w:lvlText w:val="Ø"/>
    </w:lvl>
    <w:lvl w:ilvl="1">
      <w:lvlJc w:val="left"/>
      <w:numFmt w:val="bullet"/>
      <w:start w:val="1"/>
      <w:suff w:val="tab"/>
      <w:pPr>
        <w:ind w:left="1200" w:hanging="400"/>
        <w:rPr/>
      </w:pPr>
      <w:rPr>
        <w:rFonts w:ascii="Wingdings" w:eastAsia="Wingdings" w:hAnsi="Wingdings" w:cs="Wingdings"/>
      </w:rPr>
      <w:lvlText w:val="n"/>
    </w:lvl>
    <w:lvl w:ilvl="2">
      <w:lvlJc w:val="left"/>
      <w:numFmt w:val="bullet"/>
      <w:start w:val="1"/>
      <w:suff w:val="tab"/>
      <w:pPr>
        <w:ind w:left="1600" w:hanging="400"/>
        <w:rPr/>
      </w:pPr>
      <w:rPr>
        <w:rFonts w:ascii="Wingdings" w:eastAsia="Wingdings" w:hAnsi="Wingdings" w:cs="Wingdings"/>
      </w:rPr>
      <w:lvlText w:val="u"/>
    </w:lvl>
    <w:lvl w:ilvl="3">
      <w:lvlJc w:val="left"/>
      <w:numFmt w:val="bullet"/>
      <w:start w:val="1"/>
      <w:suff w:val="tab"/>
      <w:pPr>
        <w:ind w:left="2000" w:hanging="400"/>
        <w:rPr/>
      </w:pPr>
      <w:rPr>
        <w:rFonts w:ascii="Wingdings" w:eastAsia="Wingdings" w:hAnsi="Wingdings" w:cs="Wingdings"/>
      </w:rPr>
      <w:lvlText w:val="Ø"/>
    </w:lvl>
    <w:lvl w:ilvl="4">
      <w:lvlJc w:val="left"/>
      <w:numFmt w:val="bullet"/>
      <w:start w:val="1"/>
      <w:suff w:val="tab"/>
      <w:pPr>
        <w:ind w:left="2400" w:hanging="400"/>
        <w:rPr/>
      </w:pPr>
      <w:rPr>
        <w:rFonts w:ascii="Wingdings" w:eastAsia="Wingdings" w:hAnsi="Wingdings" w:cs="Wingdings"/>
      </w:rPr>
      <w:lvlText w:val="n"/>
    </w:lvl>
    <w:lvl w:ilvl="5">
      <w:lvlJc w:val="left"/>
      <w:numFmt w:val="bullet"/>
      <w:start w:val="1"/>
      <w:suff w:val="tab"/>
      <w:pPr>
        <w:ind w:left="2800" w:hanging="400"/>
        <w:rPr/>
      </w:pPr>
      <w:rPr>
        <w:rFonts w:ascii="Wingdings" w:eastAsia="Wingdings" w:hAnsi="Wingdings" w:cs="Wingdings"/>
      </w:rPr>
      <w:lvlText w:val="u"/>
    </w:lvl>
    <w:lvl w:ilvl="6">
      <w:lvlJc w:val="left"/>
      <w:numFmt w:val="bullet"/>
      <w:start w:val="1"/>
      <w:suff w:val="tab"/>
      <w:pPr>
        <w:ind w:left="3200" w:hanging="400"/>
        <w:rPr/>
      </w:pPr>
      <w:rPr>
        <w:rFonts w:ascii="Wingdings" w:eastAsia="Wingdings" w:hAnsi="Wingdings" w:cs="Wingdings"/>
      </w:rPr>
      <w:lvlText w:val="Ø"/>
    </w:lvl>
    <w:lvl w:ilvl="7">
      <w:lvlJc w:val="left"/>
      <w:numFmt w:val="bullet"/>
      <w:start w:val="1"/>
      <w:suff w:val="tab"/>
      <w:pPr>
        <w:ind w:left="3600" w:hanging="400"/>
        <w:rPr/>
      </w:pPr>
      <w:rPr>
        <w:rFonts w:ascii="Wingdings" w:eastAsia="Wingdings" w:hAnsi="Wingdings" w:cs="Wingdings"/>
      </w:rPr>
      <w:lvlText w:val="n"/>
    </w:lvl>
    <w:lvl w:ilvl="8">
      <w:lvlJc w:val="left"/>
      <w:numFmt w:val="bullet"/>
      <w:start w:val="1"/>
      <w:suff w:val="tab"/>
      <w:pPr>
        <w:ind w:left="4000" w:hanging="400"/>
        <w:rPr/>
      </w:pPr>
      <w:rPr>
        <w:rFonts w:ascii="Wingdings" w:eastAsia="Wingdings" w:hAnsi="Wingdings" w:cs="Wingdings"/>
      </w:rPr>
      <w:lvlText w:val="u"/>
    </w:lvl>
  </w:abstractNum>
  <w:abstractNum w:abstractNumId="1">
    <w:multiLevelType w:val="hybridMultilevel"/>
    <w:nsid w:val="2F000001"/>
    <w:tmpl w:val="276B1D78"/>
    <w:lvl w:ilvl="0">
      <w:lvlJc w:val="left"/>
      <w:numFmt w:val="bullet"/>
      <w:start w:val="1"/>
      <w:suff w:val="tab"/>
      <w:pPr>
        <w:ind w:left="800" w:hanging="400"/>
        <w:rPr/>
      </w:pPr>
      <w:rPr>
        <w:rFonts w:ascii="Wingdings" w:eastAsia="Wingdings" w:hAnsi="Wingdings" w:cs="Wingdings"/>
      </w:rPr>
      <w:lvlText w:val="Ø"/>
    </w:lvl>
    <w:lvl w:ilvl="1">
      <w:lvlJc w:val="left"/>
      <w:numFmt w:val="bullet"/>
      <w:start w:val="1"/>
      <w:suff w:val="tab"/>
      <w:pPr>
        <w:ind w:left="1200" w:hanging="400"/>
        <w:rPr/>
      </w:pPr>
      <w:rPr>
        <w:rFonts w:ascii="Wingdings" w:eastAsia="Wingdings" w:hAnsi="Wingdings" w:cs="Wingdings"/>
      </w:rPr>
      <w:lvlText w:val="n"/>
    </w:lvl>
    <w:lvl w:ilvl="2">
      <w:lvlJc w:val="left"/>
      <w:numFmt w:val="bullet"/>
      <w:start w:val="1"/>
      <w:suff w:val="tab"/>
      <w:pPr>
        <w:ind w:left="1600" w:hanging="400"/>
        <w:rPr/>
      </w:pPr>
      <w:rPr>
        <w:rFonts w:ascii="Wingdings" w:eastAsia="Wingdings" w:hAnsi="Wingdings" w:cs="Wingdings"/>
      </w:rPr>
      <w:lvlText w:val="u"/>
    </w:lvl>
    <w:lvl w:ilvl="3">
      <w:lvlJc w:val="left"/>
      <w:numFmt w:val="bullet"/>
      <w:start w:val="1"/>
      <w:suff w:val="tab"/>
      <w:pPr>
        <w:ind w:left="2000" w:hanging="400"/>
        <w:rPr/>
      </w:pPr>
      <w:rPr>
        <w:rFonts w:ascii="Wingdings" w:eastAsia="Wingdings" w:hAnsi="Wingdings" w:cs="Wingdings"/>
      </w:rPr>
      <w:lvlText w:val="Ø"/>
    </w:lvl>
    <w:lvl w:ilvl="4">
      <w:lvlJc w:val="left"/>
      <w:numFmt w:val="bullet"/>
      <w:start w:val="1"/>
      <w:suff w:val="tab"/>
      <w:pPr>
        <w:ind w:left="2400" w:hanging="400"/>
        <w:rPr/>
      </w:pPr>
      <w:rPr>
        <w:rFonts w:ascii="Wingdings" w:eastAsia="Wingdings" w:hAnsi="Wingdings" w:cs="Wingdings"/>
      </w:rPr>
      <w:lvlText w:val="n"/>
    </w:lvl>
    <w:lvl w:ilvl="5">
      <w:lvlJc w:val="left"/>
      <w:numFmt w:val="bullet"/>
      <w:start w:val="1"/>
      <w:suff w:val="tab"/>
      <w:pPr>
        <w:ind w:left="2800" w:hanging="400"/>
        <w:rPr/>
      </w:pPr>
      <w:rPr>
        <w:rFonts w:ascii="Wingdings" w:eastAsia="Wingdings" w:hAnsi="Wingdings" w:cs="Wingdings"/>
      </w:rPr>
      <w:lvlText w:val="u"/>
    </w:lvl>
    <w:lvl w:ilvl="6">
      <w:lvlJc w:val="left"/>
      <w:numFmt w:val="bullet"/>
      <w:start w:val="1"/>
      <w:suff w:val="tab"/>
      <w:pPr>
        <w:ind w:left="3200" w:hanging="400"/>
        <w:rPr/>
      </w:pPr>
      <w:rPr>
        <w:rFonts w:ascii="Wingdings" w:eastAsia="Wingdings" w:hAnsi="Wingdings" w:cs="Wingdings"/>
      </w:rPr>
      <w:lvlText w:val="Ø"/>
    </w:lvl>
    <w:lvl w:ilvl="7">
      <w:lvlJc w:val="left"/>
      <w:numFmt w:val="bullet"/>
      <w:start w:val="1"/>
      <w:suff w:val="tab"/>
      <w:pPr>
        <w:ind w:left="3600" w:hanging="400"/>
        <w:rPr/>
      </w:pPr>
      <w:rPr>
        <w:rFonts w:ascii="Wingdings" w:eastAsia="Wingdings" w:hAnsi="Wingdings" w:cs="Wingdings"/>
      </w:rPr>
      <w:lvlText w:val="n"/>
    </w:lvl>
    <w:lvl w:ilvl="8">
      <w:lvlJc w:val="left"/>
      <w:numFmt w:val="bullet"/>
      <w:start w:val="1"/>
      <w:suff w:val="tab"/>
      <w:pPr>
        <w:ind w:left="4000" w:hanging="400"/>
        <w:rPr/>
      </w:pPr>
      <w:rPr>
        <w:rFonts w:ascii="Wingdings" w:eastAsia="Wingdings" w:hAnsi="Wingdings" w:cs="Wingdings"/>
      </w:rPr>
      <w:lvlText w:val="u"/>
    </w:lvl>
  </w:abstractNum>
  <w:abstractNum w:abstractNumId="2">
    <w:multiLevelType w:val="hybridMultilevel"/>
    <w:nsid w:val="2F000002"/>
    <w:tmpl w:val="4F5BD66C"/>
    <w:lvl w:ilvl="0">
      <w:lvlJc w:val="left"/>
      <w:numFmt w:val="bullet"/>
      <w:start w:val="1"/>
      <w:suff w:val="tab"/>
      <w:pPr>
        <w:ind w:left="800" w:hanging="400"/>
        <w:rPr/>
      </w:pPr>
      <w:rPr>
        <w:rFonts w:ascii="Wingdings" w:eastAsia="Wingdings" w:hAnsi="Wingdings" w:cs="Wingdings"/>
      </w:rPr>
      <w:lvlText w:val="Ø"/>
    </w:lvl>
    <w:lvl w:ilvl="1">
      <w:lvlJc w:val="left"/>
      <w:numFmt w:val="bullet"/>
      <w:start w:val="1"/>
      <w:suff w:val="tab"/>
      <w:pPr>
        <w:ind w:left="1200" w:hanging="400"/>
        <w:rPr/>
      </w:pPr>
      <w:rPr>
        <w:rFonts w:ascii="Wingdings" w:eastAsia="Wingdings" w:hAnsi="Wingdings" w:cs="Wingdings"/>
      </w:rPr>
      <w:lvlText w:val="n"/>
    </w:lvl>
    <w:lvl w:ilvl="2">
      <w:lvlJc w:val="left"/>
      <w:numFmt w:val="bullet"/>
      <w:start w:val="1"/>
      <w:suff w:val="tab"/>
      <w:pPr>
        <w:ind w:left="1600" w:hanging="400"/>
        <w:rPr/>
      </w:pPr>
      <w:rPr>
        <w:rFonts w:ascii="Wingdings" w:eastAsia="Wingdings" w:hAnsi="Wingdings" w:cs="Wingdings"/>
      </w:rPr>
      <w:lvlText w:val="u"/>
    </w:lvl>
    <w:lvl w:ilvl="3">
      <w:lvlJc w:val="left"/>
      <w:numFmt w:val="bullet"/>
      <w:start w:val="1"/>
      <w:suff w:val="tab"/>
      <w:pPr>
        <w:ind w:left="2000" w:hanging="400"/>
        <w:rPr/>
      </w:pPr>
      <w:rPr>
        <w:rFonts w:ascii="Wingdings" w:eastAsia="Wingdings" w:hAnsi="Wingdings" w:cs="Wingdings"/>
      </w:rPr>
      <w:lvlText w:val="Ø"/>
    </w:lvl>
    <w:lvl w:ilvl="4">
      <w:lvlJc w:val="left"/>
      <w:numFmt w:val="bullet"/>
      <w:start w:val="1"/>
      <w:suff w:val="tab"/>
      <w:pPr>
        <w:ind w:left="2400" w:hanging="400"/>
        <w:rPr/>
      </w:pPr>
      <w:rPr>
        <w:rFonts w:ascii="Wingdings" w:eastAsia="Wingdings" w:hAnsi="Wingdings" w:cs="Wingdings"/>
      </w:rPr>
      <w:lvlText w:val="n"/>
    </w:lvl>
    <w:lvl w:ilvl="5">
      <w:lvlJc w:val="left"/>
      <w:numFmt w:val="bullet"/>
      <w:start w:val="1"/>
      <w:suff w:val="tab"/>
      <w:pPr>
        <w:ind w:left="2800" w:hanging="400"/>
        <w:rPr/>
      </w:pPr>
      <w:rPr>
        <w:rFonts w:ascii="Wingdings" w:eastAsia="Wingdings" w:hAnsi="Wingdings" w:cs="Wingdings"/>
      </w:rPr>
      <w:lvlText w:val="u"/>
    </w:lvl>
    <w:lvl w:ilvl="6">
      <w:lvlJc w:val="left"/>
      <w:numFmt w:val="bullet"/>
      <w:start w:val="1"/>
      <w:suff w:val="tab"/>
      <w:pPr>
        <w:ind w:left="3200" w:hanging="400"/>
        <w:rPr/>
      </w:pPr>
      <w:rPr>
        <w:rFonts w:ascii="Wingdings" w:eastAsia="Wingdings" w:hAnsi="Wingdings" w:cs="Wingdings"/>
      </w:rPr>
      <w:lvlText w:val="Ø"/>
    </w:lvl>
    <w:lvl w:ilvl="7">
      <w:lvlJc w:val="left"/>
      <w:numFmt w:val="bullet"/>
      <w:start w:val="1"/>
      <w:suff w:val="tab"/>
      <w:pPr>
        <w:ind w:left="3600" w:hanging="400"/>
        <w:rPr/>
      </w:pPr>
      <w:rPr>
        <w:rFonts w:ascii="Wingdings" w:eastAsia="Wingdings" w:hAnsi="Wingdings" w:cs="Wingdings"/>
      </w:rPr>
      <w:lvlText w:val="n"/>
    </w:lvl>
    <w:lvl w:ilvl="8">
      <w:lvlJc w:val="left"/>
      <w:numFmt w:val="bullet"/>
      <w:start w:val="1"/>
      <w:suff w:val="tab"/>
      <w:pPr>
        <w:ind w:left="4000" w:hanging="400"/>
        <w:rPr/>
      </w:pPr>
      <w:rPr>
        <w:rFonts w:ascii="Wingdings" w:eastAsia="Wingdings" w:hAnsi="Wingdings" w:cs="Wingdings"/>
      </w:rPr>
      <w:lvlText w:val="u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avePreviewPicture/>
  <w:proofState w:spelling="clean" w:grammar="clean"/>
  <w:defaultTabStop w:val="800"/>
  <w:displayHorizontalDrawingGridEvery w:val="0"/>
  <w:displayVerticalDrawingGridEvery w:val="2"/>
  <w:noPunctuationKerning/>
  <w:characterSpacingControl w:val="doNotCompress"/>
  <w:bordersDoNotSurroundHeader/>
  <w:bordersDoNotSurroundFooter/>
  <w:compat>
    <w:balanceSingleByteDoubleByteWidth/>
    <w:useFELayout/>
    <w:compatSetting w:name="compatibilityMode" w:uri="http://schemas.microsoft.com/office/word" w:val="15"/>
  </w:compat>
  <m:mathPr>
    <m:mathFont m:value="Cambria Math"/>
    <m:brkBin m:value="before"/>
    <m:brkBinSub m:value="--"/>
    <m:smallFrac m:value="off"/>
    <m:dispDef/>
    <m:lMargin m:value="0"/>
    <m:rMargin m:value="0"/>
    <m:defJc m:value="centerGroup"/>
    <m:wrapIndent m:value="1440"/>
    <m:intLim m:value="subSup"/>
    <m:naryLim m:value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docDefaults>
    <w:pPrDefault>
      <w:pPr>
        <w:spacing w:after="160"/>
        <w:rPr/>
      </w:pPr>
    </w:pPrDefault>
    <w:rPrDefault>
      <w:rPr>
        <w:color w:val="auto"/>
        <w:sz w:val="22"/>
        <w:szCs w:val="22"/>
      </w:rPr>
    </w:rPrDefault>
  </w:docDefaults>
  <w:style w:default="1" w:styleId="PO1" w:type="paragraph">
    <w:name w:val="Normal"/>
    <w:qFormat/>
    <w:uiPriority w:val="1"/>
    <w:pPr>
      <w:jc w:val="both"/>
      <w:spacing w:lineRule="auto" w:line="259"/>
      <w:rPr/>
      <w:autoSpaceDE w:val="0"/>
      <w:autoSpaceDN w:val="0"/>
    </w:pPr>
    <w:rPr>
      <w:color w:val="auto"/>
      <w:sz w:val="22"/>
      <w:szCs w:val="22"/>
      <w:rFonts w:ascii="NanumGothic" w:eastAsia="NanumGothic" w:hAnsi="NanumGothic" w:cs="NanumGothic"/>
    </w:rPr>
  </w:style>
  <w:style w:default="1" w:styleId="PO2" w:type="character">
    <w:name w:val="Default Paragraph Font"/>
    <w:next w:val="PO1"/>
    <w:qFormat/>
    <w:uiPriority w:val="2"/>
    <w:semiHidden/>
    <w:unhideWhenUsed/>
    <w:rPr>
      <w:color w:val="auto"/>
      <w:sz w:val="22"/>
      <w:szCs w:val="22"/>
    </w:rPr>
  </w:style>
  <w:style w:default="1" w:styleId="PO3" w:type="table">
    <w:name w:val="Normal Table"/>
    <w:uiPriority w:val="3"/>
    <w:tblPr>
      <w:tblCellMar>
        <w:bottom w:type="dxa" w:w="0"/>
        <w:left w:type="dxa" w:w="108"/>
        <w:right w:type="dxa" w:w="108"/>
        <w:top w:type="dxa" w:w="0"/>
      </w:tblCellMar>
      <w:tblInd w:type="dxa" w:w="0"/>
    </w:tblPr>
  </w:style>
  <w:style w:default="1" w:styleId="PO4" w:type="numbering">
    <w:name w:val="No List"/>
    <w:next w:val="PO1"/>
    <w:uiPriority w:val="4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?>
<Relationships xmlns="http://schemas.openxmlformats.org/package/2006/relationships"><Relationship Id="rId1" Type="http://schemas.openxmlformats.org/officeDocument/2006/relationships/webSettings" Target="webSettings.xml"></Relationship><Relationship Id="rId2" Type="http://schemas.openxmlformats.org/officeDocument/2006/relationships/fontTable" Target="fontTable.xml"></Relationship><Relationship Id="rId3" Type="http://schemas.openxmlformats.org/officeDocument/2006/relationships/settings" Target="settings.xml"></Relationship><Relationship Id="rId4" Type="http://schemas.openxmlformats.org/officeDocument/2006/relationships/styles" Target="styles.xml"></Relationship><Relationship Id="rId5" Type="http://schemas.openxmlformats.org/officeDocument/2006/relationships/image" Target="media/fImage169148117712.png"></Relationship><Relationship Id="rId6" Type="http://schemas.openxmlformats.org/officeDocument/2006/relationships/image" Target="media/fImage21802203870.png"></Relationship><Relationship Id="rId7" Type="http://schemas.openxmlformats.org/officeDocument/2006/relationships/image" Target="media/fImage49896222295.png"></Relationship><Relationship Id="rId8" Type="http://schemas.openxmlformats.org/officeDocument/2006/relationships/image" Target="media/fImage278476179727.png"></Relationship><Relationship Id="rId9" Type="http://schemas.openxmlformats.org/officeDocument/2006/relationships/image" Target="media/fImage218644133355.png"></Relationship><Relationship Id="rId10" Type="http://schemas.openxmlformats.org/officeDocument/2006/relationships/image" Target="media/fImage7121243860.png"></Relationship><Relationship Id="rId11" Type="http://schemas.openxmlformats.org/officeDocument/2006/relationships/numbering" Target="numbering.xml"></Relationship><Relationship Id="rId12" Type="http://schemas.openxmlformats.org/officeDocument/2006/relationships/theme" Target="theme/theme1.xml"></Relationship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Polaris Office Word</Application>
  <AppVersion>12.000</AppVersion>
  <Characters>0</Characters>
  <CharactersWithSpaces>0</CharactersWithSpaces>
  <DocSecurity>0</DocSecurity>
  <HyperlinksChanged>false</HyperlinksChanged>
  <Lines>0</Lines>
  <LinksUpToDate>false</LinksUpToDate>
  <Pages>8</Pages>
  <Paragraphs>0</Paragraphs>
  <Words>433</Words>
  <TotalTime>0</TotalTime>
  <MMClips>0</MMClip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Title text</vt:lpstr>
    </vt:vector>
  </TitlesOfParts>
  <SharedDoc>false</SharedDoc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3</cp:revision>
  <dc:creator>ibezimemily</dc:creator>
  <cp:lastModifiedBy>ibezimemily</cp:lastModifiedBy>
</cp:coreProperties>
</file>