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FE4" w:rsidRDefault="00690FE4" w:rsidP="00B86C82">
      <w:pPr>
        <w:spacing w:line="480" w:lineRule="auto"/>
        <w:ind w:left="720" w:hanging="360"/>
      </w:pPr>
      <w:r>
        <w:t xml:space="preserve">Ejalonibu Oluwadamilola mark </w:t>
      </w:r>
    </w:p>
    <w:p w:rsidR="00690FE4" w:rsidRDefault="00690FE4" w:rsidP="00B86C82">
      <w:pPr>
        <w:spacing w:line="480" w:lineRule="auto"/>
        <w:ind w:left="720" w:hanging="360"/>
      </w:pPr>
      <w:r>
        <w:t>17/engo3/019</w:t>
      </w:r>
    </w:p>
    <w:p w:rsidR="007A762F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B86C82">
        <w:rPr>
          <w:rFonts w:ascii="Times New Roman" w:hAnsi="Times New Roman" w:cs="Times New Roman"/>
          <w:b/>
          <w:sz w:val="36"/>
          <w:szCs w:val="36"/>
        </w:rPr>
        <w:t>MENTION 7 TYPES OF SOILS AND THEIR PERMEABILITY VALUES</w:t>
      </w: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4"/>
        <w:gridCol w:w="4262"/>
      </w:tblGrid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100 to 1.0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1.0 to 0.01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0.01 to 0.001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0.001 to 0.00001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Less than 0.000001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0.0000006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0.000000007</w:t>
            </w:r>
          </w:p>
        </w:tc>
      </w:tr>
    </w:tbl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EXPLAIN THE RELEVANCE OF SOIL PERMEABILITY IN SOIL ENGINEERING</w:t>
      </w:r>
    </w:p>
    <w:p w:rsid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Permeability </w:t>
      </w:r>
      <w:r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Soil permeability is applicable in the determination of the rate of settlement of a saturated compressible soil layer.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helps in the calculation of seepage through the body of earth dams and stability of slopes for highways.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2"/>
    <w:rsid w:val="005E1749"/>
    <w:rsid w:val="00690FE4"/>
    <w:rsid w:val="007A762F"/>
    <w:rsid w:val="00A22109"/>
    <w:rsid w:val="00B86C82"/>
    <w:rsid w:val="00C3582F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E942"/>
  <w15:docId w15:val="{04D8E734-4FB9-4F46-AB7D-6CF2296C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Oluwadamilola Ejalonibu Mark</cp:lastModifiedBy>
  <cp:revision>2</cp:revision>
  <dcterms:created xsi:type="dcterms:W3CDTF">2020-05-27T14:20:00Z</dcterms:created>
  <dcterms:modified xsi:type="dcterms:W3CDTF">2020-05-27T14:20:00Z</dcterms:modified>
</cp:coreProperties>
</file>