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default" w:ascii="Times New Roman" w:hAnsi="Times New Roman" w:eastAsia="Times New Roman" w:cs="Times New Roman"/>
          <w:color w:val="000000" w:themeColor="text1"/>
          <w:sz w:val="32"/>
          <w:szCs w:val="32"/>
          <w14:textFill>
            <w14:solidFill>
              <w14:schemeClr w14:val="tx1"/>
            </w14:solidFill>
          </w14:textFill>
        </w:rPr>
      </w:pPr>
      <w:r>
        <w:rPr>
          <w:rFonts w:hint="default" w:ascii="Times New Roman" w:hAnsi="Times New Roman" w:eastAsia="Times New Roman" w:cs="Times New Roman"/>
          <w:color w:val="000000" w:themeColor="text1"/>
          <w:sz w:val="32"/>
          <w:szCs w:val="32"/>
          <w14:textFill>
            <w14:solidFill>
              <w14:schemeClr w14:val="tx1"/>
            </w14:solidFill>
          </w14:textFill>
        </w:rPr>
        <w:t xml:space="preserve">NAME: </w:t>
      </w:r>
      <w:r>
        <w:rPr>
          <w:rFonts w:hint="default" w:ascii="Times New Roman" w:hAnsi="Times New Roman" w:eastAsia="Times New Roman" w:cs="Times New Roman"/>
          <w:color w:val="000000" w:themeColor="text1"/>
          <w:sz w:val="32"/>
          <w:szCs w:val="32"/>
          <w:lang w:val="en-US"/>
          <w14:textFill>
            <w14:solidFill>
              <w14:schemeClr w14:val="tx1"/>
            </w14:solidFill>
          </w14:textFill>
        </w:rPr>
        <w:t xml:space="preserve">Akpiroroh Efe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32"/>
          <w:szCs w:val="32"/>
          <w14:textFill>
            <w14:solidFill>
              <w14:schemeClr w14:val="tx1"/>
            </w14:solidFill>
          </w14:textFill>
        </w:rPr>
        <w:t>MATRIC NO: 17\ M</w:t>
      </w:r>
      <w:r>
        <w:rPr>
          <w:rFonts w:hint="default" w:ascii="Times New Roman" w:hAnsi="Times New Roman" w:eastAsia="Times New Roman" w:cs="Times New Roman"/>
          <w:color w:val="000000" w:themeColor="text1"/>
          <w:sz w:val="32"/>
          <w:szCs w:val="32"/>
          <w:lang w:val="en-US"/>
          <w14:textFill>
            <w14:solidFill>
              <w14:schemeClr w14:val="tx1"/>
            </w14:solidFill>
          </w14:textFill>
        </w:rPr>
        <w:t>hs</w:t>
      </w:r>
      <w:r>
        <w:rPr>
          <w:rFonts w:hint="default" w:ascii="Times New Roman" w:hAnsi="Times New Roman" w:eastAsia="Times New Roman" w:cs="Times New Roman"/>
          <w:color w:val="000000" w:themeColor="text1"/>
          <w:sz w:val="32"/>
          <w:szCs w:val="32"/>
          <w14:textFill>
            <w14:solidFill>
              <w14:schemeClr w14:val="tx1"/>
            </w14:solidFill>
          </w14:textFill>
        </w:rPr>
        <w:t>02\0</w:t>
      </w:r>
      <w:r>
        <w:rPr>
          <w:rFonts w:hint="default" w:ascii="Times New Roman" w:hAnsi="Times New Roman" w:eastAsia="Times New Roman" w:cs="Times New Roman"/>
          <w:color w:val="000000" w:themeColor="text1"/>
          <w:sz w:val="32"/>
          <w:szCs w:val="32"/>
          <w:lang w:val="en-US"/>
          <w14:textFill>
            <w14:solidFill>
              <w14:schemeClr w14:val="tx1"/>
            </w14:solidFill>
          </w14:textFill>
        </w:rPr>
        <w:t>22</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 xml:space="preserve">5 diagnostic techniques used in pathology, relevant illustrations and examples required.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1. HISTOPATHOLOGY</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Preparation of histology</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The tissue is then prepared for viewing under a microscope using either chemical fixation or frozen section.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If a large sample is provided e.g. from a surgical procedure then a pathologist looks at the tissue sample and selects the part most likely to yield</w:t>
      </w:r>
      <w:bookmarkStart w:id="0" w:name="_GoBack"/>
      <w:bookmarkEnd w:id="0"/>
      <w:r>
        <w:rPr>
          <w:rFonts w:hint="default" w:ascii="Times New Roman" w:hAnsi="Times New Roman" w:eastAsia="Times New Roman" w:cs="Times New Roman"/>
          <w:color w:val="000000" w:themeColor="text1"/>
          <w:sz w:val="28"/>
          <w:szCs w:val="28"/>
          <w14:textFill>
            <w14:solidFill>
              <w14:schemeClr w14:val="tx1"/>
            </w14:solidFill>
          </w14:textFill>
        </w:rPr>
        <w:t xml:space="preserve">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PROCESSING</w:t>
      </w:r>
      <w:r>
        <w:rPr>
          <w:rFonts w:hint="default" w:ascii="Times New Roman" w:hAnsi="Times New Roman" w:eastAsia="Times New Roman" w:cs="Times New Roman"/>
          <w:color w:val="000000" w:themeColor="text1"/>
          <w:sz w:val="28"/>
          <w:szCs w:val="28"/>
          <w14:textFill>
            <w14:solidFill>
              <w14:schemeClr w14:val="tx1"/>
            </w14:solidFill>
          </w14:textFill>
        </w:rPr>
        <w:t>:</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Water is removed from the sample in successive stages by the use of increasing concentrations of alcohol.</w:t>
      </w:r>
      <w:r>
        <w:rPr>
          <w:rFonts w:hint="default" w:ascii="Times New Roman" w:hAnsi="Times New Roman" w:eastAsia="Times New Roman" w:cs="Times New Roman"/>
          <w:color w:val="000000" w:themeColor="text1"/>
          <w:sz w:val="28"/>
          <w:szCs w:val="28"/>
          <w:vertAlign w:val="superscript"/>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Examples</w:t>
      </w:r>
      <w:r>
        <w:rPr>
          <w:rFonts w:hint="default" w:ascii="Times New Roman" w:hAnsi="Times New Roman" w:eastAsia="Times New Roman" w:cs="Times New Roman"/>
          <w:color w:val="000000" w:themeColor="text1"/>
          <w:sz w:val="28"/>
          <w:szCs w:val="28"/>
          <w14:textFill>
            <w14:solidFill>
              <w14:schemeClr w14:val="tx1"/>
            </w14:solidFill>
          </w14:textFill>
        </w:rPr>
        <w:t>: Study of human tissues.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2. </w:t>
      </w:r>
      <w:r>
        <w:rPr>
          <w:rFonts w:hint="default" w:ascii="Times New Roman" w:hAnsi="Times New Roman" w:eastAsia="Times New Roman" w:cs="Times New Roman"/>
          <w:b/>
          <w:bCs/>
          <w:color w:val="000000" w:themeColor="text1"/>
          <w:sz w:val="28"/>
          <w:szCs w:val="28"/>
          <w14:textFill>
            <w14:solidFill>
              <w14:schemeClr w14:val="tx1"/>
            </w14:solidFill>
          </w14:textFill>
        </w:rPr>
        <w:t>IMMUNOHISTOCHEMISTRY</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Immunohistochemistry</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w:t>
      </w:r>
      <w:r>
        <w:rPr>
          <w:rFonts w:hint="default" w:ascii="Times New Roman" w:hAnsi="Times New Roman" w:eastAsia="Times New Roman" w:cs="Times New Roman"/>
          <w:b/>
          <w:bCs/>
          <w:color w:val="000000" w:themeColor="text1"/>
          <w:sz w:val="28"/>
          <w:szCs w:val="28"/>
          <w14:textFill>
            <w14:solidFill>
              <w14:schemeClr w14:val="tx1"/>
            </w14:solidFill>
          </w14:textFill>
        </w:rPr>
        <w:t>IHC</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Visualising an antibody-antigen interaction can be accomplished in a number of ways, mainly either of the following: </w:t>
      </w:r>
    </w:p>
    <w:p>
      <w:pPr>
        <w:numPr>
          <w:ilvl w:val="0"/>
          <w:numId w:val="1"/>
        </w:num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14:textFill>
            <w14:solidFill>
              <w14:schemeClr w14:val="tx1"/>
            </w14:solidFill>
          </w14:textFill>
        </w:rPr>
        <w:t>Chromogenic immunohistochemistry</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(CIH), wherein an antibody is conjugated to an enzyme, such as peroxidase (the combination being termed immunoperoxidase), that can catalyse a colour-producing reaction.</w:t>
      </w:r>
    </w:p>
    <w:p>
      <w:pPr>
        <w:numPr>
          <w:ilvl w:val="0"/>
          <w:numId w:val="1"/>
        </w:num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14:textFill>
            <w14:solidFill>
              <w14:schemeClr w14:val="tx1"/>
            </w14:solidFill>
          </w14:textFill>
        </w:rPr>
        <w:t>Immunofluorescence</w:t>
      </w:r>
      <w:r>
        <w:rPr>
          <w:rFonts w:hint="default" w:ascii="Times New Roman" w:hAnsi="Times New Roman" w:eastAsia="Times New Roman" w:cs="Times New Roman"/>
          <w:color w:val="000000" w:themeColor="text1"/>
          <w:sz w:val="28"/>
          <w:szCs w:val="28"/>
          <w14:textFill>
            <w14:solidFill>
              <w14:schemeClr w14:val="tx1"/>
            </w14:solidFill>
          </w14:textFill>
        </w:rPr>
        <w:t>, where the antibody is tagged to a fluorophore, such as fluorescein or rhodamine.</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Example</w:t>
      </w:r>
      <w:r>
        <w:rPr>
          <w:rFonts w:hint="default" w:ascii="Times New Roman" w:hAnsi="Times New Roman" w:eastAsia="Times New Roman" w:cs="Times New Roman"/>
          <w:color w:val="000000" w:themeColor="text1"/>
          <w:sz w:val="28"/>
          <w:szCs w:val="28"/>
          <w14:textFill>
            <w14:solidFill>
              <w14:schemeClr w14:val="tx1"/>
            </w14:solidFill>
          </w14:textFill>
        </w:rPr>
        <w:t>: BrdU , cytokeratins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3. </w:t>
      </w:r>
      <w:r>
        <w:rPr>
          <w:rFonts w:hint="default" w:ascii="Times New Roman" w:hAnsi="Times New Roman" w:eastAsia="Times New Roman" w:cs="Times New Roman"/>
          <w:b/>
          <w:bCs/>
          <w:color w:val="000000" w:themeColor="text1"/>
          <w:sz w:val="28"/>
          <w:szCs w:val="28"/>
          <w14:textFill>
            <w14:solidFill>
              <w14:schemeClr w14:val="tx1"/>
            </w14:solidFill>
          </w14:textFill>
        </w:rPr>
        <w:t>MOLECULAR AUTOPSY</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Molecular autopsy</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or </w:t>
      </w:r>
      <w:r>
        <w:rPr>
          <w:rFonts w:hint="default" w:ascii="Times New Roman" w:hAnsi="Times New Roman" w:eastAsia="Times New Roman" w:cs="Times New Roman"/>
          <w:b/>
          <w:bCs/>
          <w:color w:val="000000" w:themeColor="text1"/>
          <w:sz w:val="28"/>
          <w:szCs w:val="28"/>
          <w14:textFill>
            <w14:solidFill>
              <w14:schemeClr w14:val="tx1"/>
            </w14:solidFill>
          </w14:textFill>
        </w:rPr>
        <w:t>postmortem molecular testing</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METHODS</w:t>
      </w:r>
      <w:r>
        <w:rPr>
          <w:rFonts w:hint="default" w:ascii="Times New Roman" w:hAnsi="Times New Roman" w:eastAsia="Times New Roman" w:cs="Times New Roman"/>
          <w:color w:val="000000" w:themeColor="text1"/>
          <w:sz w:val="28"/>
          <w:szCs w:val="28"/>
          <w14:textFill>
            <w14:solidFill>
              <w14:schemeClr w14:val="tx1"/>
            </w14:solidFill>
          </w14:textFill>
        </w:rPr>
        <w:t>:</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4. </w:t>
      </w:r>
      <w:r>
        <w:rPr>
          <w:rFonts w:hint="default" w:ascii="Times New Roman" w:hAnsi="Times New Roman" w:eastAsia="Times New Roman" w:cs="Times New Roman"/>
          <w:b/>
          <w:bCs/>
          <w:color w:val="000000" w:themeColor="text1"/>
          <w:sz w:val="28"/>
          <w:szCs w:val="28"/>
          <w14:textFill>
            <w14:solidFill>
              <w14:schemeClr w14:val="tx1"/>
            </w14:solidFill>
          </w14:textFill>
        </w:rPr>
        <w:t>MICROBIOLOGICAL EXAM</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Collection of Specimen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EXAMPLE</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A homogenized sample of food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b/>
          <w:bCs/>
          <w:sz w:val="28"/>
          <w:szCs w:val="28"/>
        </w:rPr>
        <w:t xml:space="preserve">CELL ADAPTATION PRECEDES CELL DEATH </w:t>
      </w:r>
    </w:p>
    <w:p>
      <w:pPr>
        <w:spacing w:line="300" w:lineRule="auto"/>
        <w:rPr>
          <w:sz w:val="36"/>
          <w:szCs w:val="36"/>
        </w:rPr>
      </w:pPr>
      <w:r>
        <w:rPr>
          <w:rFonts w:hint="default" w:ascii="Times New Roman" w:hAnsi="Times New Roman" w:eastAsia="Times New Roman" w:cs="Times New Roman"/>
          <w:sz w:val="28"/>
          <w:szCs w:val="28"/>
        </w:rPr>
        <w:t>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w:t>
      </w:r>
      <w:r>
        <w:rPr>
          <w:rFonts w:hint="default" w:ascii="Times New Roman" w:hAnsi="Times New Roman" w:eastAsia="Times New Roman" w:cs="Times New Roman"/>
          <w:sz w:val="28"/>
          <w:szCs w:val="28"/>
          <w:lang w:val="en-US"/>
        </w:rPr>
        <w:t>.</w:t>
      </w:r>
      <w:r>
        <w:rPr>
          <w:sz w:val="36"/>
          <w:szCs w:val="36"/>
        </w:rPr>
        <w:t xml:space="preserve"> </w:t>
      </w:r>
      <w:r>
        <w:rPr>
          <w:rFonts w:hint="default" w:ascii="Times New Roman" w:hAnsi="Times New Roman" w:eastAsia="Times New Roman" w:cs="Times New Roman"/>
          <w:sz w:val="28"/>
          <w:szCs w:val="28"/>
        </w:rPr>
        <w:t xml:space="preserve">This vast interconnecting system of membrane-bound spaces is termed the </w:t>
      </w:r>
      <w:r>
        <w:rPr>
          <w:rFonts w:hint="default" w:ascii="Times New Roman" w:hAnsi="Times New Roman" w:eastAsia="Times New Roman" w:cs="Times New Roman"/>
          <w:i/>
          <w:iCs/>
          <w:sz w:val="28"/>
          <w:szCs w:val="28"/>
        </w:rPr>
        <w:t>cytocavitary network.</w:t>
      </w:r>
      <w:r>
        <w:rPr>
          <w:rFonts w:hint="default" w:ascii="Times New Roman" w:hAnsi="Times New Roman" w:eastAsia="Times New Roman" w:cs="Times New Roman"/>
          <w:sz w:val="28"/>
          <w:szCs w:val="28"/>
        </w:rPr>
        <w:t xml:space="preserve"> The function of these organelles is largely determined by the type and quantity of specific enzymes associated with each membrane and in the cytoplasmic matrix.</w:t>
      </w:r>
    </w:p>
    <w:p>
      <w:pPr>
        <w:rPr>
          <w:sz w:val="36"/>
          <w:szCs w:val="36"/>
        </w:rPr>
      </w:pPr>
      <w:r>
        <w:rPr>
          <w:sz w:val="36"/>
          <w:szCs w:val="36"/>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Cell structure and the organization of organelles, cytoskeleton, and membrane enhancements. </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Cell Membranes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Cell membranes are a fluid phospholipid bilayer penetrated by numerous specific proteins. The two main biologic functions of these membranes are</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 (l) to serve as selective barriers </w:t>
      </w:r>
    </w:p>
    <w:p>
      <w:pPr>
        <w:spacing w:line="300" w:lineRule="auto"/>
        <w:rPr>
          <w:sz w:val="36"/>
          <w:szCs w:val="36"/>
        </w:rPr>
      </w:pPr>
      <w:r>
        <w:rPr>
          <w:rFonts w:hint="default" w:ascii="Times New Roman" w:hAnsi="Times New Roman" w:eastAsia="Times New Roman" w:cs="Times New Roman"/>
          <w:color w:val="000000" w:themeColor="text1"/>
          <w:sz w:val="28"/>
          <w:szCs w:val="28"/>
          <w14:textFill>
            <w14:solidFill>
              <w14:schemeClr w14:val="tx1"/>
            </w14:solidFill>
          </w14:textFill>
        </w:rPr>
        <w:t>(2) to form a structural base for the enzymes and receptors that determine cell function. Cell membranes form the boundaries of many organelles and separate them from the cytosol.</w:t>
      </w:r>
    </w:p>
    <w:p>
      <w:pPr>
        <w:rPr>
          <w:sz w:val="36"/>
          <w:szCs w:val="36"/>
        </w:rPr>
      </w:pPr>
      <w:r>
        <w:rPr>
          <w:sz w:val="36"/>
          <w:szCs w:val="36"/>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Fluid mosaic model of cell membrane structure.</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The lipid bilayer provides the basic structure and serves as a relatively impermeable barrier to most water-soluble molecules. </w:t>
      </w:r>
    </w:p>
    <w:p>
      <w:pPr>
        <w:spacing w:line="300" w:lineRule="auto"/>
        <w:rPr>
          <w:sz w:val="36"/>
          <w:szCs w:val="36"/>
        </w:rPr>
      </w:pPr>
      <w:r>
        <w:rPr>
          <w:rFonts w:hint="default" w:ascii="Times New Roman" w:hAnsi="Times New Roman" w:eastAsia="Times New Roman" w:cs="Times New Roman"/>
          <w:sz w:val="28"/>
          <w:szCs w:val="28"/>
        </w:rPr>
        <w:t>The plasma membrane is the cell’s first contact with injurious agents. Microvilli and cilia are specialized areas of the plasma membrane and are often specifically altered in disease.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 It is these transmembrane proteins that are often used by infectious microbes to enter or use cell systems during their life cycles, thus initiating a process that often results in injury to the host cell.</w:t>
      </w:r>
    </w:p>
    <w:p>
      <w:pPr>
        <w:spacing w:line="300" w:lineRule="auto"/>
        <w:rPr>
          <w:rFonts w:hint="default" w:ascii="Times New Roman" w:hAnsi="Times New Roman" w:eastAsia="Times New Roman" w:cs="Times New Roman"/>
          <w:sz w:val="28"/>
          <w:szCs w:val="28"/>
        </w:rPr>
      </w:pPr>
      <w:r>
        <w:rPr>
          <w:sz w:val="36"/>
          <w:szCs w:val="36"/>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r>
        <w:rPr>
          <w:sz w:val="36"/>
          <w:szCs w:val="36"/>
          <w:lang w:val="en-US"/>
        </w:rPr>
        <w:t xml:space="preserve">.                         </w:t>
      </w:r>
      <w:r>
        <w:rPr>
          <w:sz w:val="36"/>
          <w:szCs w:val="36"/>
        </w:rPr>
        <w:t xml:space="preserve"> </w:t>
      </w:r>
      <w:r>
        <w:rPr>
          <w:rFonts w:hint="default" w:ascii="Times New Roman" w:hAnsi="Times New Roman" w:eastAsia="Times New Roman" w:cs="Times New Roman"/>
          <w:sz w:val="28"/>
          <w:szCs w:val="28"/>
        </w:rPr>
        <w:t>Functions of transmembrane proteins.</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A variety of functions are performed by different types of cell membranes as shown. </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Cytosol</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Mitochondria</w:t>
      </w:r>
    </w:p>
    <w:p>
      <w:pPr>
        <w:spacing w:line="300" w:lineRule="auto"/>
        <w:rPr>
          <w:sz w:val="36"/>
          <w:szCs w:val="36"/>
        </w:rPr>
      </w:pPr>
      <w:r>
        <w:rPr>
          <w:rFonts w:hint="default" w:ascii="Times New Roman" w:hAnsi="Times New Roman" w:eastAsia="Times New Roman" w:cs="Times New Roman"/>
          <w:sz w:val="28"/>
          <w:szCs w:val="28"/>
        </w:rPr>
        <w:t xml:space="preserve">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Nucleus</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nucleus is that portion of the cell responsible for storage and transmission of genetic information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Nucleolus</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nucleolus is a basic organelle of the nucleus and is composed of RNA, nucleolus-associated chromatin, and protein . It functions in the synthesis of ribosomal RNA (rRNA), essential in protein synthesis. The nucleolus can be basophilic or eosinophilic, and its prominence is a subjective measure of the cell’s synthetic activity.</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Rough Endoplasmic Reticulum</w:t>
      </w:r>
    </w:p>
    <w:p>
      <w:pPr>
        <w:spacing w:line="300" w:lineRule="auto"/>
        <w:rPr>
          <w:sz w:val="36"/>
          <w:szCs w:val="36"/>
        </w:rPr>
      </w:pPr>
      <w:r>
        <w:rPr>
          <w:rFonts w:hint="default" w:ascii="Times New Roman" w:hAnsi="Times New Roman" w:eastAsia="Times New Roman" w:cs="Times New Roman"/>
          <w:sz w:val="28"/>
          <w:szCs w:val="28"/>
        </w:rPr>
        <w:t>The RER is a network of intracellular membranes studded with ribosomes</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rPr>
        <w:t xml:space="preserve">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rPr>
          <w:sz w:val="36"/>
          <w:szCs w:val="36"/>
        </w:rPr>
      </w:pPr>
      <w:r>
        <w:rPr>
          <w:sz w:val="36"/>
          <w:szCs w:val="36"/>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Membrane systems.</w:t>
      </w:r>
      <w:r>
        <w:rPr>
          <w:rFonts w:hint="default" w:ascii="Times New Roman" w:hAnsi="Times New Roman" w:eastAsia="Times New Roman" w:cs="Times New Roman"/>
          <w:sz w:val="28"/>
          <w:szCs w:val="28"/>
          <w:lang w:val="en-US"/>
        </w:rPr>
        <w:t xml:space="preserve"> </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Smooth Endoplasmic Reticulum</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Smooth endoplasmic reticulum (SER) is a tubular or vesicular form of cell membrane that lacks ribosomes . SER is the locus of enzymes that metabolize steroids, drugs, lipids, and glycogen. It gives the cytoplasm a pale, finely vacuolated appearance as viewed in the light microscope.</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Golgi Complex</w:t>
      </w:r>
    </w:p>
    <w:p>
      <w:pPr>
        <w:spacing w:line="300" w:lineRule="auto"/>
        <w:rPr>
          <w:sz w:val="36"/>
          <w:szCs w:val="36"/>
        </w:rPr>
      </w:pPr>
      <w:r>
        <w:rPr>
          <w:rFonts w:hint="default" w:ascii="Times New Roman" w:hAnsi="Times New Roman" w:eastAsia="Times New Roman" w:cs="Times New Roman"/>
          <w:sz w:val="28"/>
          <w:szCs w:val="28"/>
        </w:rPr>
        <w:t xml:space="preserve">The Golgi complex consists of several lamellar stacks or flattened sacs of membranes, vesicles, and vacuoles </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It functions in the synthesis of complex proteins by the addition of carbohydrate molecules and in the production of secretory vesicles and lysosomes.</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Lysosomes</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Lysosomes are small membrane-bound vesicles laden with hydrolytic enzymes essential for intracellular digestion </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rPr>
        <w:t>They are discussed more completely as components of phagocytic cells. Peroxisomes are similar to lysosomes but also play a role in energy metabolism.</w:t>
      </w:r>
    </w:p>
    <w:p>
      <w:pPr>
        <w:spacing w:line="300" w:lineRule="auto"/>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Microfilaments, Intermediate Filaments, and Microtubules</w:t>
      </w:r>
    </w:p>
    <w:p>
      <w:pPr>
        <w:spacing w:line="300" w:lineRule="auto"/>
        <w:rPr>
          <w:sz w:val="36"/>
          <w:szCs w:val="36"/>
        </w:rPr>
      </w:pPr>
      <w:r>
        <w:rPr>
          <w:rFonts w:hint="default" w:ascii="Times New Roman" w:hAnsi="Times New Roman" w:eastAsia="Times New Roman" w:cs="Times New Roman"/>
          <w:sz w:val="28"/>
          <w:szCs w:val="28"/>
        </w:rPr>
        <w:t>These structures are composed of protein subunits and function in the cytoskeleton and in cell movement</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rPr>
        <w:t xml:space="preserve"> They have a prominent role in the mitotic spindle, cilia, microvilli, neurons, myocytes, and phagocytic cells. Many cell types besides muscles, for example, contain actin microfilaments.</w:t>
      </w:r>
    </w:p>
    <w:p>
      <w:pPr>
        <w:rPr>
          <w:sz w:val="36"/>
          <w:szCs w:val="36"/>
        </w:rPr>
      </w:pPr>
      <w:r>
        <w:rPr>
          <w:sz w:val="36"/>
          <w:szCs w:val="36"/>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Cytoskeleton.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The complexity of and interrelations between intermediate filaments, microtubules, endoplasmic reticulum, and other cytoplasmic organelles that can be involved in the pathogenesis of diseases are shown.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Cellular Inclusions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Inclusions include glycogen granules, proteinaceous vacuoles, lipid debris, hemosiderin, viral particles, and calcium granules. Some of these are normal, whereas others are the result of cell injury and are discussed later in this chapter in the section dealing with intracellular and extracellular accumulations.</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Extracellular Matrix</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Although not part of the cell itself, the ECM and its integrity influences cell health and function.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Causes of Cell Injury</w:t>
      </w:r>
    </w:p>
    <w:p>
      <w:pPr>
        <w:spacing w:line="300" w:lineRule="auto"/>
        <w:rPr>
          <w:sz w:val="36"/>
          <w:szCs w:val="36"/>
        </w:rPr>
      </w:pPr>
      <w:r>
        <w:rPr>
          <w:rFonts w:hint="default" w:ascii="Times New Roman" w:hAnsi="Times New Roman" w:eastAsia="Times New Roman" w:cs="Times New Roman"/>
          <w:color w:val="000000" w:themeColor="text1"/>
          <w:sz w:val="28"/>
          <w:szCs w:val="28"/>
          <w14:textFill>
            <w14:solidFill>
              <w14:schemeClr w14:val="tx1"/>
            </w14:solidFill>
          </w14:textFill>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w:t>
      </w:r>
    </w:p>
    <w:p>
      <w:pPr>
        <w:rPr>
          <w:sz w:val="36"/>
          <w:szCs w:val="36"/>
        </w:rPr>
      </w:pPr>
      <w:r>
        <w:rPr>
          <w:sz w:val="36"/>
          <w:szCs w:val="36"/>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sz w:val="28"/>
          <w:szCs w:val="28"/>
        </w:rPr>
      </w:pPr>
      <w:r>
        <w:rPr>
          <w:sz w:val="36"/>
          <w:szCs w:val="36"/>
        </w:rPr>
        <w:t xml:space="preserve"> </w:t>
      </w:r>
      <w:r>
        <w:rPr>
          <w:rFonts w:hint="default" w:ascii="Times New Roman" w:hAnsi="Times New Roman" w:eastAsia="Times New Roman" w:cs="Times New Roman"/>
          <w:sz w:val="28"/>
          <w:szCs w:val="28"/>
        </w:rPr>
        <w:t>Cellular and biochemical sites of damage in cell injury.</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(l) adaptation</w:t>
      </w:r>
    </w:p>
    <w:p>
      <w:pPr>
        <w:spacing w:line="30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(2) degeneration or intracellular or extracellular accumulations, </w:t>
      </w:r>
    </w:p>
    <w:p>
      <w:pPr>
        <w:spacing w:line="300" w:lineRule="auto"/>
        <w:rPr>
          <w:sz w:val="36"/>
          <w:szCs w:val="36"/>
        </w:rPr>
      </w:pPr>
      <w:r>
        <w:rPr>
          <w:rFonts w:hint="default" w:ascii="Times New Roman" w:hAnsi="Times New Roman" w:eastAsia="Times New Roman" w:cs="Times New Roman"/>
          <w:sz w:val="28"/>
          <w:szCs w:val="28"/>
        </w:rPr>
        <w:t xml:space="preserve"> (3) death </w:t>
      </w:r>
    </w:p>
    <w:p>
      <w:pPr>
        <w:rPr>
          <w:sz w:val="36"/>
          <w:szCs w:val="36"/>
        </w:rPr>
      </w:pPr>
      <w:r>
        <w:rPr>
          <w:sz w:val="36"/>
          <w:szCs w:val="36"/>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pPr>
        <w:rPr>
          <w:sz w:val="36"/>
          <w:szCs w:val="36"/>
        </w:rPr>
      </w:pPr>
      <w:r>
        <w:rPr>
          <w:sz w:val="36"/>
          <w:szCs w:val="36"/>
        </w:rPr>
        <w:t xml:space="preserve">Stages in the cellular response to stress and injurious stimuli. </w:t>
      </w:r>
    </w:p>
    <w:p>
      <w:pPr>
        <w:spacing w:line="300" w:lineRule="auto"/>
        <w:rPr>
          <w:sz w:val="36"/>
          <w:szCs w:val="36"/>
        </w:rPr>
      </w:pPr>
      <w:r>
        <w:rPr>
          <w:rFonts w:hint="default" w:ascii="Times New Roman" w:hAnsi="Times New Roman" w:eastAsia="Times New Roman" w:cs="Times New Roman"/>
          <w:sz w:val="28"/>
          <w:szCs w:val="28"/>
        </w:rPr>
        <w:t xml:space="preserve">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 </w:t>
      </w:r>
    </w:p>
    <w:p>
      <w:pPr>
        <w:rPr>
          <w:sz w:val="36"/>
          <w:szCs w:val="36"/>
        </w:rPr>
      </w:pPr>
      <w:r>
        <w:rPr>
          <w:sz w:val="36"/>
          <w:szCs w:val="36"/>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Postulated sequence of events in reversible and irreversible ischemic cell injury.</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Oxygen Deficiency</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Hypoxia is one of the most common and important causes of cell injury and death. Hypoxia is a partial reduction in the O</w:t>
      </w:r>
      <w:r>
        <w:rPr>
          <w:rFonts w:hint="default" w:ascii="Times New Roman" w:hAnsi="Times New Roman" w:eastAsia="Times New Roman" w:cs="Times New Roman"/>
          <w:color w:val="000000" w:themeColor="text1"/>
          <w:sz w:val="28"/>
          <w:szCs w:val="28"/>
          <w:vertAlign w:val="subscript"/>
          <w14:textFill>
            <w14:solidFill>
              <w14:schemeClr w14:val="tx1"/>
            </w14:solidFill>
          </w14:textFill>
        </w:rPr>
        <w:t>2</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rFonts w:hint="default" w:ascii="Times New Roman" w:hAnsi="Times New Roman" w:eastAsia="Times New Roman" w:cs="Times New Roman"/>
          <w:color w:val="000000" w:themeColor="text1"/>
          <w:sz w:val="28"/>
          <w:szCs w:val="28"/>
          <w:vertAlign w:val="subscript"/>
          <w14:textFill>
            <w14:solidFill>
              <w14:schemeClr w14:val="tx1"/>
            </w14:solidFill>
          </w14:textFill>
        </w:rPr>
        <w:t>2</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in blood (e.g., anemia or carbon monoxide toxicity), and blockage of cell respiratory enzymes (cyanide toxicosis).</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Physical Agents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Infectious Agents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Injury caused by bacterial infection varies and can result from the action of potent toxins on specific host cells (clostridial infections, enterotoxigenic </w:t>
      </w:r>
      <w:r>
        <w:rPr>
          <w:rFonts w:hint="default" w:ascii="Times New Roman" w:hAnsi="Times New Roman" w:eastAsia="Times New Roman" w:cs="Times New Roman"/>
          <w:i/>
          <w:iCs/>
          <w:color w:val="000000" w:themeColor="text1"/>
          <w:sz w:val="28"/>
          <w:szCs w:val="28"/>
          <w14:textFill>
            <w14:solidFill>
              <w14:schemeClr w14:val="tx1"/>
            </w14:solidFill>
          </w14:textFill>
        </w:rPr>
        <w:t>Escherichia coli</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infection) or from an overwhelming or ineffective inflammatory response to uncontrolled bacterial replication in tissue. Some bacteria, such as </w:t>
      </w:r>
      <w:r>
        <w:rPr>
          <w:rFonts w:hint="default" w:ascii="Times New Roman" w:hAnsi="Times New Roman" w:eastAsia="Times New Roman" w:cs="Times New Roman"/>
          <w:i/>
          <w:iCs/>
          <w:color w:val="000000" w:themeColor="text1"/>
          <w:sz w:val="28"/>
          <w:szCs w:val="28"/>
          <w14:textFill>
            <w14:solidFill>
              <w14:schemeClr w14:val="tx1"/>
            </w14:solidFill>
          </w14:textFill>
        </w:rPr>
        <w:t>Lawsonia intracellularis,</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can result in excessive intestinal epithelial cell replication.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Chemicals, Drugs, and Toxins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Immunologic Dysfunction</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The immune system may fail to respond to infectious agents and other antigens as a result of congenital or acquired defects of lymphoid tissue or their products.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spacing w:line="300" w:lineRule="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14:textFill>
            <w14:solidFill>
              <w14:schemeClr w14:val="tx1"/>
            </w14:solidFill>
          </w14:textFill>
        </w:rPr>
        <w:t xml:space="preserve">The immune response directed toward foreign antigens (pathogenic organisms) is usually beneficial to the host, but sometimes the response is misdirected against antigens of host cells. This large group of diseases is referred to as </w:t>
      </w:r>
      <w:r>
        <w:rPr>
          <w:rFonts w:hint="default" w:ascii="Times New Roman" w:hAnsi="Times New Roman" w:eastAsia="Times New Roman" w:cs="Times New Roman"/>
          <w:i/>
          <w:iCs/>
          <w:color w:val="000000" w:themeColor="text1"/>
          <w:sz w:val="28"/>
          <w:szCs w:val="28"/>
          <w14:textFill>
            <w14:solidFill>
              <w14:schemeClr w14:val="tx1"/>
            </w14:solidFill>
          </w14:textFill>
        </w:rPr>
        <w:t>autoimmune disease.</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An inappropriate or exaggerated response to certain antigens results in immunologic disease referred to as </w:t>
      </w:r>
      <w:r>
        <w:rPr>
          <w:rFonts w:hint="default" w:ascii="Times New Roman" w:hAnsi="Times New Roman" w:eastAsia="Times New Roman" w:cs="Times New Roman"/>
          <w:i/>
          <w:iCs/>
          <w:color w:val="000000" w:themeColor="text1"/>
          <w:sz w:val="28"/>
          <w:szCs w:val="28"/>
          <w14:textFill>
            <w14:solidFill>
              <w14:schemeClr w14:val="tx1"/>
            </w14:solidFill>
          </w14:textFill>
        </w:rPr>
        <w:t>hypersensitivity (allergy).</w:t>
      </w:r>
      <w:r>
        <w:rPr>
          <w:rFonts w:hint="default" w:ascii="Times New Roman" w:hAnsi="Times New Roman" w:eastAsia="Times New Roman" w:cs="Times New Roman"/>
          <w:color w:val="000000" w:themeColor="text1"/>
          <w:sz w:val="28"/>
          <w:szCs w:val="28"/>
          <w14:textFill>
            <w14:solidFill>
              <w14:schemeClr w14:val="tx1"/>
            </w14:solidFill>
          </w14:textFill>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spacing w:line="300" w:lineRule="auto"/>
        <w:rPr>
          <w:rFonts w:hint="default" w:ascii="Times New Roman" w:hAnsi="Times New Roman" w:eastAsia="Times New Roman" w:cs="Times New Roman"/>
          <w:b/>
          <w:bCs/>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14:textFill>
            <w14:solidFill>
              <w14:schemeClr w14:val="tx1"/>
            </w14:solidFill>
          </w14:textFill>
        </w:rPr>
        <w:t>Aging</w:t>
      </w:r>
    </w:p>
    <w:p>
      <w:pPr>
        <w:spacing w:line="300" w:lineRule="auto"/>
        <w:rPr>
          <w:sz w:val="36"/>
          <w:szCs w:val="36"/>
        </w:rPr>
      </w:pPr>
      <w:r>
        <w:rPr>
          <w:rFonts w:hint="default" w:ascii="Times New Roman" w:hAnsi="Times New Roman" w:eastAsia="Times New Roman" w:cs="Times New Roman"/>
          <w:color w:val="000000" w:themeColor="text1"/>
          <w:sz w:val="28"/>
          <w:szCs w:val="28"/>
          <w14:textFill>
            <w14:solidFill>
              <w14:schemeClr w14:val="tx1"/>
            </w14:solidFill>
          </w14:textFill>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rPr>
          <w:sz w:val="36"/>
          <w:szCs w:val="36"/>
        </w:rPr>
      </w:pPr>
    </w:p>
    <w:p>
      <w:pPr>
        <w:rPr>
          <w:sz w:val="36"/>
          <w:szCs w:val="36"/>
        </w:rPr>
      </w:pPr>
    </w:p>
    <w:p>
      <w:pPr>
        <w:rPr>
          <w:sz w:val="36"/>
          <w:szCs w:val="36"/>
        </w:rPr>
      </w:pPr>
    </w:p>
    <w:p>
      <w:pPr>
        <w:rPr>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46AD"/>
    <w:multiLevelType w:val="multilevel"/>
    <w:tmpl w:val="496B4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rPr>
      <w:rFonts w:ascii="Times New Roman" w:hAnsi="Times New Roman" w:cs="Times New Roman"/>
      <w:sz w:val="24"/>
      <w:szCs w:val="24"/>
    </w:rPr>
  </w:style>
  <w:style w:type="paragraph" w:styleId="6">
    <w:name w:val="Subtitle"/>
    <w:basedOn w:val="1"/>
    <w:next w:val="1"/>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paragraph" w:customStyle="1"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Subtitle Char"/>
    <w:basedOn w:val="7"/>
    <w:link w:val="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3909</Words>
  <Characters>22285</Characters>
  <Lines>185</Lines>
  <Paragraphs>52</Paragraphs>
  <ScaleCrop>false</ScaleCrop>
  <LinksUpToDate>false</LinksUpToDate>
  <CharactersWithSpaces>26142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2020-05-26T01:19:00Z</dcterms:created>
  <dc:creator>ENGR SEGUN</dc:creator>
  <cp:lastModifiedBy>Efe👑</cp:lastModifiedBy>
  <dcterms:modified xsi:type="dcterms:W3CDTF">2020-05-27T07:55:52Z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