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48"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t>CHINEDUM PRUDENCE ESE</w:t>
      </w:r>
    </w:p>
    <w:p w:rsidR="00D05854"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t>CHEMICAL ENGINEERING</w:t>
      </w:r>
    </w:p>
    <w:p w:rsidR="00D05854"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t>17/ENG01/007</w:t>
      </w:r>
    </w:p>
    <w:p w:rsidR="00D05854"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t>CHE 312</w:t>
      </w:r>
    </w:p>
    <w:p w:rsidR="00D05854"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t>ANSWERS</w:t>
      </w:r>
    </w:p>
    <w:p w:rsidR="00D05854"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t>1. QUESTION ONE</w:t>
      </w:r>
    </w:p>
    <w:p w:rsidR="00D05854" w:rsidRPr="006902AD" w:rsidRDefault="00D05854">
      <w:pPr>
        <w:rPr>
          <w:rFonts w:ascii="Times New Roman" w:hAnsi="Times New Roman" w:cs="Times New Roman"/>
          <w:sz w:val="24"/>
          <w:szCs w:val="24"/>
          <w:shd w:val="clear" w:color="auto" w:fill="FFFFFF"/>
        </w:rPr>
      </w:pPr>
      <w:r w:rsidRPr="006902AD">
        <w:rPr>
          <w:rFonts w:ascii="Times New Roman" w:hAnsi="Times New Roman" w:cs="Times New Roman"/>
          <w:sz w:val="24"/>
          <w:szCs w:val="24"/>
          <w:shd w:val="clear" w:color="auto" w:fill="FFFFFF"/>
        </w:rPr>
        <w:t xml:space="preserve">Process Flow Diagram widely used in modeling of processes in the chemical industry. A Chemical Process Flow diagram (PFD) is a specialized type of flowchart. With the help of Chemical Process Flow Diagram engineers can easily specify the general scheme of the processes and chemical plant equipment. Chemical Process Flow Diagram displays the real scheme of the chemical process, the relationship between the equipment and the technical characteristics of the process. Chemical Process Flow Diagram illustrates the connections between the basic equipment as well as the overall structure of pipelines and other supporting equipment. The purpose of the PFD is to build the image of the basic idea of ​​the chemical process. </w:t>
      </w:r>
      <w:proofErr w:type="spellStart"/>
      <w:r w:rsidRPr="006902AD">
        <w:rPr>
          <w:rFonts w:ascii="Times New Roman" w:hAnsi="Times New Roman" w:cs="Times New Roman"/>
          <w:sz w:val="24"/>
          <w:szCs w:val="24"/>
          <w:shd w:val="clear" w:color="auto" w:fill="FFFFFF"/>
        </w:rPr>
        <w:t>ConceptDraw</w:t>
      </w:r>
      <w:proofErr w:type="spellEnd"/>
      <w:r w:rsidRPr="006902AD">
        <w:rPr>
          <w:rFonts w:ascii="Times New Roman" w:hAnsi="Times New Roman" w:cs="Times New Roman"/>
          <w:sz w:val="24"/>
          <w:szCs w:val="24"/>
          <w:shd w:val="clear" w:color="auto" w:fill="FFFFFF"/>
        </w:rPr>
        <w:t xml:space="preserve"> DIAGRAM together with its Chemical and Process Engineering solution delivers the possibility to design Chemical Process Flow diagrams. It is designed for chemical industry engineers and designers.</w:t>
      </w:r>
    </w:p>
    <w:p w:rsidR="00D05854"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drawing>
          <wp:inline distT="0" distB="0" distL="0" distR="0" wp14:anchorId="1E5D4279" wp14:editId="7ACBDAE5">
            <wp:extent cx="5937249" cy="3676650"/>
            <wp:effectExtent l="0" t="0" r="6985" b="0"/>
            <wp:docPr id="1" name="Picture 1" descr="How to Draw a Chemical Process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Chemical Process Flow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80583"/>
                    </a:xfrm>
                    <a:prstGeom prst="rect">
                      <a:avLst/>
                    </a:prstGeom>
                    <a:noFill/>
                    <a:ln>
                      <a:noFill/>
                    </a:ln>
                  </pic:spPr>
                </pic:pic>
              </a:graphicData>
            </a:graphic>
          </wp:inline>
        </w:drawing>
      </w:r>
      <w:bookmarkStart w:id="0" w:name="_GoBack"/>
      <w:bookmarkEnd w:id="0"/>
    </w:p>
    <w:p w:rsidR="00D05854" w:rsidRPr="006902AD" w:rsidRDefault="00D05854">
      <w:pPr>
        <w:rPr>
          <w:rFonts w:ascii="Times New Roman" w:hAnsi="Times New Roman" w:cs="Times New Roman"/>
          <w:sz w:val="24"/>
          <w:szCs w:val="24"/>
        </w:rPr>
      </w:pPr>
    </w:p>
    <w:p w:rsidR="00D05854" w:rsidRPr="006902AD" w:rsidRDefault="00D05854">
      <w:pPr>
        <w:rPr>
          <w:rFonts w:ascii="Times New Roman" w:hAnsi="Times New Roman" w:cs="Times New Roman"/>
          <w:sz w:val="24"/>
          <w:szCs w:val="24"/>
        </w:rPr>
      </w:pPr>
      <w:r w:rsidRPr="006902AD">
        <w:rPr>
          <w:rFonts w:ascii="Times New Roman" w:hAnsi="Times New Roman" w:cs="Times New Roman"/>
          <w:sz w:val="24"/>
          <w:szCs w:val="24"/>
        </w:rPr>
        <w:t>QUESTION TWO</w:t>
      </w:r>
    </w:p>
    <w:p w:rsidR="00000611" w:rsidRPr="00000611" w:rsidRDefault="00000611" w:rsidP="00000611">
      <w:pPr>
        <w:shd w:val="clear" w:color="auto" w:fill="FFFFFF"/>
        <w:spacing w:before="120" w:after="12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A piping and instrumentation diagram (P&amp;ID) is defined as follows:</w:t>
      </w:r>
    </w:p>
    <w:p w:rsidR="00000611" w:rsidRPr="00000611" w:rsidRDefault="00000611" w:rsidP="00000611">
      <w:pPr>
        <w:numPr>
          <w:ilvl w:val="0"/>
          <w:numId w:val="1"/>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A diagram which shows the interconnection of process equipment and the instrumentation used to control the process. In the process industry, a </w:t>
      </w:r>
      <w:hyperlink r:id="rId9" w:tooltip="Symbolic language (engineering)" w:history="1">
        <w:r w:rsidRPr="00000611">
          <w:rPr>
            <w:rFonts w:ascii="Times New Roman" w:eastAsia="Times New Roman" w:hAnsi="Times New Roman" w:cs="Times New Roman"/>
            <w:sz w:val="24"/>
            <w:szCs w:val="24"/>
          </w:rPr>
          <w:t>standard set of symbols</w:t>
        </w:r>
      </w:hyperlink>
      <w:r w:rsidRPr="00000611">
        <w:rPr>
          <w:rFonts w:ascii="Times New Roman" w:eastAsia="Times New Roman" w:hAnsi="Times New Roman" w:cs="Times New Roman"/>
          <w:sz w:val="24"/>
          <w:szCs w:val="24"/>
        </w:rPr>
        <w:t> is used to prepare drawings of processes. The instrument symbols used in these drawings are generally based on </w:t>
      </w:r>
      <w:hyperlink r:id="rId10" w:tooltip="International Society of Automation" w:history="1">
        <w:r w:rsidRPr="00000611">
          <w:rPr>
            <w:rFonts w:ascii="Times New Roman" w:eastAsia="Times New Roman" w:hAnsi="Times New Roman" w:cs="Times New Roman"/>
            <w:sz w:val="24"/>
            <w:szCs w:val="24"/>
          </w:rPr>
          <w:t>International Society of Automation</w:t>
        </w:r>
      </w:hyperlink>
      <w:r w:rsidRPr="00000611">
        <w:rPr>
          <w:rFonts w:ascii="Times New Roman" w:eastAsia="Times New Roman" w:hAnsi="Times New Roman" w:cs="Times New Roman"/>
          <w:sz w:val="24"/>
          <w:szCs w:val="24"/>
        </w:rPr>
        <w:t> (ISA) Standard S5.1</w:t>
      </w:r>
    </w:p>
    <w:p w:rsidR="00000611" w:rsidRPr="00000611" w:rsidRDefault="00000611" w:rsidP="00000611">
      <w:pPr>
        <w:numPr>
          <w:ilvl w:val="0"/>
          <w:numId w:val="1"/>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The primary schematic drawing used for laying out a </w:t>
      </w:r>
      <w:hyperlink r:id="rId11" w:tooltip="Process control" w:history="1">
        <w:r w:rsidRPr="00000611">
          <w:rPr>
            <w:rFonts w:ascii="Times New Roman" w:eastAsia="Times New Roman" w:hAnsi="Times New Roman" w:cs="Times New Roman"/>
            <w:sz w:val="24"/>
            <w:szCs w:val="24"/>
          </w:rPr>
          <w:t>process control</w:t>
        </w:r>
      </w:hyperlink>
      <w:r w:rsidRPr="00000611">
        <w:rPr>
          <w:rFonts w:ascii="Times New Roman" w:eastAsia="Times New Roman" w:hAnsi="Times New Roman" w:cs="Times New Roman"/>
          <w:sz w:val="24"/>
          <w:szCs w:val="24"/>
        </w:rPr>
        <w:t> installation.</w:t>
      </w:r>
    </w:p>
    <w:p w:rsidR="00000611" w:rsidRPr="00000611" w:rsidRDefault="00000611" w:rsidP="00000611">
      <w:pPr>
        <w:shd w:val="clear" w:color="auto" w:fill="FFFFFF"/>
        <w:spacing w:before="120" w:after="12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They usually contain the following information:</w:t>
      </w:r>
    </w:p>
    <w:p w:rsidR="00000611" w:rsidRPr="00000611" w:rsidRDefault="00000611" w:rsidP="00000611">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Mechanical equipment, including:</w:t>
      </w:r>
    </w:p>
    <w:p w:rsidR="00000611" w:rsidRPr="00000611" w:rsidRDefault="00000611" w:rsidP="00000611">
      <w:pPr>
        <w:numPr>
          <w:ilvl w:val="1"/>
          <w:numId w:val="2"/>
        </w:numPr>
        <w:shd w:val="clear" w:color="auto" w:fill="FFFFFF"/>
        <w:spacing w:before="100" w:beforeAutospacing="1" w:after="24" w:line="240" w:lineRule="auto"/>
        <w:ind w:left="768"/>
        <w:rPr>
          <w:rFonts w:ascii="Times New Roman" w:eastAsia="Times New Roman" w:hAnsi="Times New Roman" w:cs="Times New Roman"/>
          <w:sz w:val="24"/>
          <w:szCs w:val="24"/>
        </w:rPr>
      </w:pPr>
      <w:hyperlink r:id="rId12" w:tooltip="Pressure vessel" w:history="1">
        <w:r w:rsidRPr="00000611">
          <w:rPr>
            <w:rFonts w:ascii="Times New Roman" w:eastAsia="Times New Roman" w:hAnsi="Times New Roman" w:cs="Times New Roman"/>
            <w:sz w:val="24"/>
            <w:szCs w:val="24"/>
          </w:rPr>
          <w:t>Pressure vessels</w:t>
        </w:r>
      </w:hyperlink>
      <w:r w:rsidRPr="00000611">
        <w:rPr>
          <w:rFonts w:ascii="Times New Roman" w:eastAsia="Times New Roman" w:hAnsi="Times New Roman" w:cs="Times New Roman"/>
          <w:sz w:val="24"/>
          <w:szCs w:val="24"/>
        </w:rPr>
        <w:t>, columns, tanks, </w:t>
      </w:r>
      <w:hyperlink r:id="rId13" w:tooltip="Pump" w:history="1">
        <w:r w:rsidRPr="00000611">
          <w:rPr>
            <w:rFonts w:ascii="Times New Roman" w:eastAsia="Times New Roman" w:hAnsi="Times New Roman" w:cs="Times New Roman"/>
            <w:sz w:val="24"/>
            <w:szCs w:val="24"/>
          </w:rPr>
          <w:t>pumps</w:t>
        </w:r>
      </w:hyperlink>
      <w:r w:rsidRPr="00000611">
        <w:rPr>
          <w:rFonts w:ascii="Times New Roman" w:eastAsia="Times New Roman" w:hAnsi="Times New Roman" w:cs="Times New Roman"/>
          <w:sz w:val="24"/>
          <w:szCs w:val="24"/>
        </w:rPr>
        <w:t>, </w:t>
      </w:r>
      <w:hyperlink r:id="rId14" w:tooltip="Compressor" w:history="1">
        <w:r w:rsidRPr="00000611">
          <w:rPr>
            <w:rFonts w:ascii="Times New Roman" w:eastAsia="Times New Roman" w:hAnsi="Times New Roman" w:cs="Times New Roman"/>
            <w:sz w:val="24"/>
            <w:szCs w:val="24"/>
          </w:rPr>
          <w:t>compressors</w:t>
        </w:r>
      </w:hyperlink>
      <w:r w:rsidRPr="00000611">
        <w:rPr>
          <w:rFonts w:ascii="Times New Roman" w:eastAsia="Times New Roman" w:hAnsi="Times New Roman" w:cs="Times New Roman"/>
          <w:sz w:val="24"/>
          <w:szCs w:val="24"/>
        </w:rPr>
        <w:t>, </w:t>
      </w:r>
      <w:hyperlink r:id="rId15" w:tooltip="Heat exchanger" w:history="1">
        <w:r w:rsidRPr="00000611">
          <w:rPr>
            <w:rFonts w:ascii="Times New Roman" w:eastAsia="Times New Roman" w:hAnsi="Times New Roman" w:cs="Times New Roman"/>
            <w:sz w:val="24"/>
            <w:szCs w:val="24"/>
          </w:rPr>
          <w:t>heat exchangers</w:t>
        </w:r>
      </w:hyperlink>
      <w:r w:rsidRPr="00000611">
        <w:rPr>
          <w:rFonts w:ascii="Times New Roman" w:eastAsia="Times New Roman" w:hAnsi="Times New Roman" w:cs="Times New Roman"/>
          <w:sz w:val="24"/>
          <w:szCs w:val="24"/>
        </w:rPr>
        <w:t>, </w:t>
      </w:r>
      <w:hyperlink r:id="rId16" w:tooltip="Furnace" w:history="1">
        <w:r w:rsidRPr="00000611">
          <w:rPr>
            <w:rFonts w:ascii="Times New Roman" w:eastAsia="Times New Roman" w:hAnsi="Times New Roman" w:cs="Times New Roman"/>
            <w:sz w:val="24"/>
            <w:szCs w:val="24"/>
          </w:rPr>
          <w:t>furnaces</w:t>
        </w:r>
      </w:hyperlink>
      <w:r w:rsidRPr="00000611">
        <w:rPr>
          <w:rFonts w:ascii="Times New Roman" w:eastAsia="Times New Roman" w:hAnsi="Times New Roman" w:cs="Times New Roman"/>
          <w:sz w:val="24"/>
          <w:szCs w:val="24"/>
        </w:rPr>
        <w:t>, </w:t>
      </w:r>
      <w:hyperlink r:id="rId17" w:tooltip="Wellhead" w:history="1">
        <w:r w:rsidRPr="00000611">
          <w:rPr>
            <w:rFonts w:ascii="Times New Roman" w:eastAsia="Times New Roman" w:hAnsi="Times New Roman" w:cs="Times New Roman"/>
            <w:sz w:val="24"/>
            <w:szCs w:val="24"/>
          </w:rPr>
          <w:t>wellheads</w:t>
        </w:r>
      </w:hyperlink>
      <w:r w:rsidRPr="00000611">
        <w:rPr>
          <w:rFonts w:ascii="Times New Roman" w:eastAsia="Times New Roman" w:hAnsi="Times New Roman" w:cs="Times New Roman"/>
          <w:sz w:val="24"/>
          <w:szCs w:val="24"/>
        </w:rPr>
        <w:t>, fans, </w:t>
      </w:r>
      <w:hyperlink r:id="rId18" w:tooltip="Cooling tower" w:history="1">
        <w:r w:rsidRPr="00000611">
          <w:rPr>
            <w:rFonts w:ascii="Times New Roman" w:eastAsia="Times New Roman" w:hAnsi="Times New Roman" w:cs="Times New Roman"/>
            <w:sz w:val="24"/>
            <w:szCs w:val="24"/>
          </w:rPr>
          <w:t>cooling towers</w:t>
        </w:r>
      </w:hyperlink>
      <w:r w:rsidRPr="00000611">
        <w:rPr>
          <w:rFonts w:ascii="Times New Roman" w:eastAsia="Times New Roman" w:hAnsi="Times New Roman" w:cs="Times New Roman"/>
          <w:sz w:val="24"/>
          <w:szCs w:val="24"/>
        </w:rPr>
        <w:t>, </w:t>
      </w:r>
      <w:hyperlink r:id="rId19" w:tooltip="Turboexpander" w:history="1">
        <w:r w:rsidRPr="00000611">
          <w:rPr>
            <w:rFonts w:ascii="Times New Roman" w:eastAsia="Times New Roman" w:hAnsi="Times New Roman" w:cs="Times New Roman"/>
            <w:sz w:val="24"/>
            <w:szCs w:val="24"/>
          </w:rPr>
          <w:t>turbo-expanders</w:t>
        </w:r>
      </w:hyperlink>
      <w:r w:rsidRPr="00000611">
        <w:rPr>
          <w:rFonts w:ascii="Times New Roman" w:eastAsia="Times New Roman" w:hAnsi="Times New Roman" w:cs="Times New Roman"/>
          <w:sz w:val="24"/>
          <w:szCs w:val="24"/>
        </w:rPr>
        <w:t>, </w:t>
      </w:r>
      <w:hyperlink r:id="rId20" w:tooltip="Pigging" w:history="1">
        <w:r w:rsidRPr="00000611">
          <w:rPr>
            <w:rFonts w:ascii="Times New Roman" w:eastAsia="Times New Roman" w:hAnsi="Times New Roman" w:cs="Times New Roman"/>
            <w:sz w:val="24"/>
            <w:szCs w:val="24"/>
          </w:rPr>
          <w:t>pig traps</w:t>
        </w:r>
      </w:hyperlink>
      <w:r w:rsidRPr="00000611">
        <w:rPr>
          <w:rFonts w:ascii="Times New Roman" w:eastAsia="Times New Roman" w:hAnsi="Times New Roman" w:cs="Times New Roman"/>
          <w:sz w:val="24"/>
          <w:szCs w:val="24"/>
        </w:rPr>
        <w:t> (see 'symbols' below)</w:t>
      </w:r>
    </w:p>
    <w:p w:rsidR="00000611" w:rsidRPr="00000611" w:rsidRDefault="00000611" w:rsidP="00000611">
      <w:pPr>
        <w:numPr>
          <w:ilvl w:val="1"/>
          <w:numId w:val="2"/>
        </w:numPr>
        <w:shd w:val="clear" w:color="auto" w:fill="FFFFFF"/>
        <w:spacing w:before="100" w:beforeAutospacing="1" w:after="24" w:line="240" w:lineRule="auto"/>
        <w:ind w:left="768"/>
        <w:rPr>
          <w:rFonts w:ascii="Times New Roman" w:eastAsia="Times New Roman" w:hAnsi="Times New Roman" w:cs="Times New Roman"/>
          <w:sz w:val="24"/>
          <w:szCs w:val="24"/>
        </w:rPr>
      </w:pPr>
      <w:hyperlink r:id="rId21" w:tooltip="Rupture disc" w:history="1">
        <w:r w:rsidRPr="00000611">
          <w:rPr>
            <w:rFonts w:ascii="Times New Roman" w:eastAsia="Times New Roman" w:hAnsi="Times New Roman" w:cs="Times New Roman"/>
            <w:sz w:val="24"/>
            <w:szCs w:val="24"/>
          </w:rPr>
          <w:t>Bursting discs</w:t>
        </w:r>
      </w:hyperlink>
      <w:r w:rsidRPr="00000611">
        <w:rPr>
          <w:rFonts w:ascii="Times New Roman" w:eastAsia="Times New Roman" w:hAnsi="Times New Roman" w:cs="Times New Roman"/>
          <w:sz w:val="24"/>
          <w:szCs w:val="24"/>
        </w:rPr>
        <w:t>, restriction orifices, strainers and filters, </w:t>
      </w:r>
      <w:hyperlink r:id="rId22" w:tooltip="Steam trap" w:history="1">
        <w:r w:rsidRPr="00000611">
          <w:rPr>
            <w:rFonts w:ascii="Times New Roman" w:eastAsia="Times New Roman" w:hAnsi="Times New Roman" w:cs="Times New Roman"/>
            <w:sz w:val="24"/>
            <w:szCs w:val="24"/>
          </w:rPr>
          <w:t>steam traps</w:t>
        </w:r>
      </w:hyperlink>
      <w:r w:rsidRPr="00000611">
        <w:rPr>
          <w:rFonts w:ascii="Times New Roman" w:eastAsia="Times New Roman" w:hAnsi="Times New Roman" w:cs="Times New Roman"/>
          <w:sz w:val="24"/>
          <w:szCs w:val="24"/>
        </w:rPr>
        <w:t>, moisture traps, sight-glasses, silencers, flares and vents, </w:t>
      </w:r>
      <w:hyperlink r:id="rId23" w:tooltip="Flame arrester" w:history="1">
        <w:r w:rsidRPr="00000611">
          <w:rPr>
            <w:rFonts w:ascii="Times New Roman" w:eastAsia="Times New Roman" w:hAnsi="Times New Roman" w:cs="Times New Roman"/>
            <w:sz w:val="24"/>
            <w:szCs w:val="24"/>
          </w:rPr>
          <w:t>flame arrestors</w:t>
        </w:r>
      </w:hyperlink>
      <w:r w:rsidRPr="00000611">
        <w:rPr>
          <w:rFonts w:ascii="Times New Roman" w:eastAsia="Times New Roman" w:hAnsi="Times New Roman" w:cs="Times New Roman"/>
          <w:sz w:val="24"/>
          <w:szCs w:val="24"/>
        </w:rPr>
        <w:t>, vortex breakers, </w:t>
      </w:r>
      <w:proofErr w:type="spellStart"/>
      <w:r w:rsidRPr="00000611">
        <w:rPr>
          <w:rFonts w:ascii="Times New Roman" w:eastAsia="Times New Roman" w:hAnsi="Times New Roman" w:cs="Times New Roman"/>
          <w:sz w:val="24"/>
          <w:szCs w:val="24"/>
        </w:rPr>
        <w:fldChar w:fldCharType="begin"/>
      </w:r>
      <w:r w:rsidRPr="00000611">
        <w:rPr>
          <w:rFonts w:ascii="Times New Roman" w:eastAsia="Times New Roman" w:hAnsi="Times New Roman" w:cs="Times New Roman"/>
          <w:sz w:val="24"/>
          <w:szCs w:val="24"/>
        </w:rPr>
        <w:instrText xml:space="preserve"> HYPERLINK "https://en.wikipedia.org/wiki/Injector" \o "Injector" </w:instrText>
      </w:r>
      <w:r w:rsidRPr="00000611">
        <w:rPr>
          <w:rFonts w:ascii="Times New Roman" w:eastAsia="Times New Roman" w:hAnsi="Times New Roman" w:cs="Times New Roman"/>
          <w:sz w:val="24"/>
          <w:szCs w:val="24"/>
        </w:rPr>
        <w:fldChar w:fldCharType="separate"/>
      </w:r>
      <w:r w:rsidRPr="00000611">
        <w:rPr>
          <w:rFonts w:ascii="Times New Roman" w:eastAsia="Times New Roman" w:hAnsi="Times New Roman" w:cs="Times New Roman"/>
          <w:sz w:val="24"/>
          <w:szCs w:val="24"/>
        </w:rPr>
        <w:t>eductors</w:t>
      </w:r>
      <w:proofErr w:type="spellEnd"/>
      <w:r w:rsidRPr="00000611">
        <w:rPr>
          <w:rFonts w:ascii="Times New Roman" w:eastAsia="Times New Roman" w:hAnsi="Times New Roman" w:cs="Times New Roman"/>
          <w:sz w:val="24"/>
          <w:szCs w:val="24"/>
        </w:rPr>
        <w:fldChar w:fldCharType="end"/>
      </w:r>
    </w:p>
    <w:p w:rsidR="00000611" w:rsidRPr="00000611" w:rsidRDefault="00000611" w:rsidP="0000061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Process piping, sizes and identification, including:</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Pipe classes and piping line numbers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Flow directions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Interconnections references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Permanent start-up, flush and bypass lines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Pipelines and flowlines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Blinds and spectacle blinds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Insulation and heat tracing</w:t>
      </w:r>
    </w:p>
    <w:p w:rsidR="00000611" w:rsidRPr="00000611" w:rsidRDefault="00000611" w:rsidP="0000061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Process control instrumentation and designation (names, numbers, unique tag identifiers), including:</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Valves and their types and identifications (e.g. isolation, shutoff, relief and </w:t>
      </w:r>
      <w:hyperlink r:id="rId24" w:tooltip="Safety valve" w:history="1">
        <w:r w:rsidRPr="00000611">
          <w:rPr>
            <w:rFonts w:ascii="Times New Roman" w:eastAsia="Times New Roman" w:hAnsi="Times New Roman" w:cs="Times New Roman"/>
            <w:sz w:val="24"/>
            <w:szCs w:val="24"/>
          </w:rPr>
          <w:t>safety valves</w:t>
        </w:r>
      </w:hyperlink>
      <w:r w:rsidRPr="00000611">
        <w:rPr>
          <w:rFonts w:ascii="Times New Roman" w:eastAsia="Times New Roman" w:hAnsi="Times New Roman" w:cs="Times New Roman"/>
          <w:sz w:val="24"/>
          <w:szCs w:val="24"/>
        </w:rPr>
        <w:t>, valve interlocks)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Control inputs and outputs (</w:t>
      </w:r>
      <w:hyperlink r:id="rId25" w:tooltip="Sensor" w:history="1">
        <w:r w:rsidRPr="00000611">
          <w:rPr>
            <w:rFonts w:ascii="Times New Roman" w:eastAsia="Times New Roman" w:hAnsi="Times New Roman" w:cs="Times New Roman"/>
            <w:sz w:val="24"/>
            <w:szCs w:val="24"/>
          </w:rPr>
          <w:t>sensors</w:t>
        </w:r>
      </w:hyperlink>
      <w:r w:rsidRPr="00000611">
        <w:rPr>
          <w:rFonts w:ascii="Times New Roman" w:eastAsia="Times New Roman" w:hAnsi="Times New Roman" w:cs="Times New Roman"/>
          <w:sz w:val="24"/>
          <w:szCs w:val="24"/>
        </w:rPr>
        <w:t> and final elements, interlocks)</w:t>
      </w:r>
    </w:p>
    <w:p w:rsidR="00000611" w:rsidRPr="00000611" w:rsidRDefault="00000611" w:rsidP="00000611">
      <w:pPr>
        <w:numPr>
          <w:ilvl w:val="1"/>
          <w:numId w:val="3"/>
        </w:numPr>
        <w:shd w:val="clear" w:color="auto" w:fill="FFFFFF"/>
        <w:spacing w:before="100" w:beforeAutospacing="1" w:after="24" w:line="240" w:lineRule="auto"/>
        <w:ind w:left="768"/>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Miscellaneous - vents, drains, </w:t>
      </w:r>
      <w:hyperlink r:id="rId26" w:tooltip="Flange" w:history="1">
        <w:r w:rsidRPr="00000611">
          <w:rPr>
            <w:rFonts w:ascii="Times New Roman" w:eastAsia="Times New Roman" w:hAnsi="Times New Roman" w:cs="Times New Roman"/>
            <w:sz w:val="24"/>
            <w:szCs w:val="24"/>
          </w:rPr>
          <w:t>flanges</w:t>
        </w:r>
      </w:hyperlink>
      <w:r w:rsidRPr="00000611">
        <w:rPr>
          <w:rFonts w:ascii="Times New Roman" w:eastAsia="Times New Roman" w:hAnsi="Times New Roman" w:cs="Times New Roman"/>
          <w:sz w:val="24"/>
          <w:szCs w:val="24"/>
        </w:rPr>
        <w:t>, special fittings, sampling lines, reducers and swages</w:t>
      </w:r>
    </w:p>
    <w:p w:rsidR="00000611" w:rsidRPr="00000611" w:rsidRDefault="00000611" w:rsidP="0000061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Interfaces for class changes</w:t>
      </w:r>
    </w:p>
    <w:p w:rsidR="00000611" w:rsidRPr="00000611" w:rsidRDefault="00000611" w:rsidP="0000061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Computer control system</w:t>
      </w:r>
    </w:p>
    <w:p w:rsidR="00000611" w:rsidRPr="00000611" w:rsidRDefault="00000611" w:rsidP="0000061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Identification of components and subsystems delivered by others</w:t>
      </w:r>
    </w:p>
    <w:p w:rsidR="00000611" w:rsidRPr="00000611" w:rsidRDefault="00000611" w:rsidP="00000611">
      <w:pPr>
        <w:shd w:val="clear" w:color="auto" w:fill="FFFFFF"/>
        <w:spacing w:before="120" w:after="12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P&amp;IDs are originally drawn up at the design stage from a combination of process flow sheet data, the mechanical process equipment design, and the instrumentation engineering design. During the design stage, the diagram also provides the basis for the development of system control schemes, allowing for further safety and operational investigations, such as a </w:t>
      </w:r>
      <w:hyperlink r:id="rId27" w:tooltip="Hazard and operability study" w:history="1">
        <w:r w:rsidRPr="00000611">
          <w:rPr>
            <w:rFonts w:ascii="Times New Roman" w:eastAsia="Times New Roman" w:hAnsi="Times New Roman" w:cs="Times New Roman"/>
            <w:sz w:val="24"/>
            <w:szCs w:val="24"/>
          </w:rPr>
          <w:t xml:space="preserve">Hazard and </w:t>
        </w:r>
        <w:r w:rsidRPr="00000611">
          <w:rPr>
            <w:rFonts w:ascii="Times New Roman" w:eastAsia="Times New Roman" w:hAnsi="Times New Roman" w:cs="Times New Roman"/>
            <w:sz w:val="24"/>
            <w:szCs w:val="24"/>
          </w:rPr>
          <w:lastRenderedPageBreak/>
          <w:t>operability study</w:t>
        </w:r>
      </w:hyperlink>
      <w:r w:rsidRPr="00000611">
        <w:rPr>
          <w:rFonts w:ascii="Times New Roman" w:eastAsia="Times New Roman" w:hAnsi="Times New Roman" w:cs="Times New Roman"/>
          <w:sz w:val="24"/>
          <w:szCs w:val="24"/>
        </w:rPr>
        <w:t> (HAZOP). To do this, it is critical to demonstrate the physical sequence of equipment and systems, as well as how these systems connect.</w:t>
      </w:r>
    </w:p>
    <w:p w:rsidR="00000611" w:rsidRPr="00000611" w:rsidRDefault="00000611" w:rsidP="00000611">
      <w:pPr>
        <w:shd w:val="clear" w:color="auto" w:fill="FFFFFF"/>
        <w:spacing w:before="120" w:after="12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P&amp;IDs also play a significant role in the maintenance and modification of the process after initial build. Modifications are red-penned onto the diagrams and are vital records of the current plant design.</w:t>
      </w:r>
    </w:p>
    <w:p w:rsidR="00000611" w:rsidRPr="00000611" w:rsidRDefault="00000611" w:rsidP="00000611">
      <w:pPr>
        <w:shd w:val="clear" w:color="auto" w:fill="FFFFFF"/>
        <w:spacing w:before="120" w:after="12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They are also vital in enabling development of;</w:t>
      </w:r>
    </w:p>
    <w:p w:rsidR="00000611" w:rsidRPr="00000611" w:rsidRDefault="00000611" w:rsidP="00000611">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Control and shutdown schemes</w:t>
      </w:r>
    </w:p>
    <w:p w:rsidR="00000611" w:rsidRPr="00000611" w:rsidRDefault="00000611" w:rsidP="00000611">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Safety and regulatory requirements</w:t>
      </w:r>
    </w:p>
    <w:p w:rsidR="00000611" w:rsidRPr="00000611" w:rsidRDefault="00000611" w:rsidP="00000611">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Start-up sequences</w:t>
      </w:r>
    </w:p>
    <w:p w:rsidR="00000611" w:rsidRPr="00000611" w:rsidRDefault="00000611" w:rsidP="00000611">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Operational understanding.</w:t>
      </w:r>
    </w:p>
    <w:p w:rsidR="00D05854" w:rsidRPr="006902AD" w:rsidRDefault="00D05854">
      <w:pPr>
        <w:rPr>
          <w:rFonts w:ascii="Times New Roman" w:hAnsi="Times New Roman" w:cs="Times New Roman"/>
          <w:sz w:val="24"/>
          <w:szCs w:val="24"/>
        </w:rPr>
      </w:pPr>
    </w:p>
    <w:p w:rsidR="00000611" w:rsidRPr="006902AD" w:rsidRDefault="00000611">
      <w:pPr>
        <w:rPr>
          <w:rFonts w:ascii="Times New Roman" w:hAnsi="Times New Roman" w:cs="Times New Roman"/>
          <w:sz w:val="24"/>
          <w:szCs w:val="24"/>
        </w:rPr>
      </w:pPr>
      <w:r w:rsidRPr="006902AD">
        <w:rPr>
          <w:rFonts w:ascii="Times New Roman" w:hAnsi="Times New Roman" w:cs="Times New Roman"/>
          <w:sz w:val="24"/>
          <w:szCs w:val="24"/>
        </w:rPr>
        <w:t>QUESTION THREE</w:t>
      </w:r>
    </w:p>
    <w:p w:rsidR="00000611" w:rsidRPr="00000611" w:rsidRDefault="00000611" w:rsidP="00000611">
      <w:pPr>
        <w:shd w:val="clear" w:color="auto" w:fill="FFFFFF"/>
        <w:spacing w:before="240" w:after="240" w:line="360" w:lineRule="atLeast"/>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The most common P&amp;ID symbols are listed below:</w:t>
      </w:r>
    </w:p>
    <w:p w:rsidR="00000611" w:rsidRPr="00000611" w:rsidRDefault="00000611" w:rsidP="000006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8" w:anchor="lines" w:history="1">
        <w:r w:rsidRPr="00000611">
          <w:rPr>
            <w:rFonts w:ascii="Times New Roman" w:eastAsia="Times New Roman" w:hAnsi="Times New Roman" w:cs="Times New Roman"/>
            <w:sz w:val="24"/>
            <w:szCs w:val="24"/>
          </w:rPr>
          <w:t>lines</w:t>
        </w:r>
      </w:hyperlink>
    </w:p>
    <w:p w:rsidR="00000611" w:rsidRPr="00000611" w:rsidRDefault="00000611" w:rsidP="000006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9" w:anchor="piping" w:history="1">
        <w:r w:rsidRPr="00000611">
          <w:rPr>
            <w:rFonts w:ascii="Times New Roman" w:eastAsia="Times New Roman" w:hAnsi="Times New Roman" w:cs="Times New Roman"/>
            <w:sz w:val="24"/>
            <w:szCs w:val="24"/>
          </w:rPr>
          <w:t>piping components (pipes, flanges, and fittings)</w:t>
        </w:r>
      </w:hyperlink>
    </w:p>
    <w:p w:rsidR="00000611" w:rsidRPr="00000611" w:rsidRDefault="00000611" w:rsidP="000006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0" w:anchor="valves" w:history="1">
        <w:r w:rsidRPr="00000611">
          <w:rPr>
            <w:rFonts w:ascii="Times New Roman" w:eastAsia="Times New Roman" w:hAnsi="Times New Roman" w:cs="Times New Roman"/>
            <w:sz w:val="24"/>
            <w:szCs w:val="24"/>
          </w:rPr>
          <w:t>valves</w:t>
        </w:r>
      </w:hyperlink>
    </w:p>
    <w:p w:rsidR="00000611" w:rsidRPr="00000611" w:rsidRDefault="00000611" w:rsidP="000006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1" w:anchor="filters" w:history="1">
        <w:r w:rsidRPr="00000611">
          <w:rPr>
            <w:rFonts w:ascii="Times New Roman" w:eastAsia="Times New Roman" w:hAnsi="Times New Roman" w:cs="Times New Roman"/>
            <w:sz w:val="24"/>
            <w:szCs w:val="24"/>
          </w:rPr>
          <w:t>filters</w:t>
        </w:r>
      </w:hyperlink>
    </w:p>
    <w:p w:rsidR="006902AD" w:rsidRPr="006902AD" w:rsidRDefault="00000611" w:rsidP="000006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2" w:anchor="instruments" w:history="1">
        <w:r w:rsidRPr="00000611">
          <w:rPr>
            <w:rFonts w:ascii="Times New Roman" w:eastAsia="Times New Roman" w:hAnsi="Times New Roman" w:cs="Times New Roman"/>
            <w:sz w:val="24"/>
            <w:szCs w:val="24"/>
          </w:rPr>
          <w:t>instruments and instrumentation</w:t>
        </w:r>
      </w:hyperlink>
    </w:p>
    <w:p w:rsidR="00000611" w:rsidRPr="006902AD" w:rsidRDefault="00000611" w:rsidP="0000061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sz w:val="24"/>
          <w:szCs w:val="24"/>
        </w:rPr>
        <w:t>LINES P&amp;ID SYMBOL</w:t>
      </w:r>
    </w:p>
    <w:p w:rsidR="00000611" w:rsidRPr="00000611" w:rsidRDefault="00000611" w:rsidP="00000611">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6902AD">
        <w:rPr>
          <w:rFonts w:ascii="Times New Roman" w:hAnsi="Times New Roman" w:cs="Times New Roman"/>
          <w:noProof/>
          <w:sz w:val="24"/>
          <w:szCs w:val="24"/>
        </w:rPr>
        <w:drawing>
          <wp:inline distT="0" distB="0" distL="0" distR="0" wp14:anchorId="4A07E070" wp14:editId="2B39F232">
            <wp:extent cx="5734050" cy="3308350"/>
            <wp:effectExtent l="0" t="0" r="0" b="6350"/>
            <wp:docPr id="5" name="Picture 5" descr="Line P&amp;I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 P&amp;ID symbol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050" cy="3308350"/>
                    </a:xfrm>
                    <a:prstGeom prst="rect">
                      <a:avLst/>
                    </a:prstGeom>
                    <a:noFill/>
                    <a:ln>
                      <a:noFill/>
                    </a:ln>
                  </pic:spPr>
                </pic:pic>
              </a:graphicData>
            </a:graphic>
          </wp:inline>
        </w:drawing>
      </w:r>
    </w:p>
    <w:p w:rsidR="00000611" w:rsidRPr="006902AD" w:rsidRDefault="00000611">
      <w:pPr>
        <w:rPr>
          <w:rFonts w:ascii="Times New Roman" w:hAnsi="Times New Roman" w:cs="Times New Roman"/>
          <w:sz w:val="24"/>
          <w:szCs w:val="24"/>
        </w:rPr>
      </w:pPr>
    </w:p>
    <w:p w:rsidR="00000611" w:rsidRPr="006902AD" w:rsidRDefault="00000611">
      <w:pPr>
        <w:rPr>
          <w:rFonts w:ascii="Times New Roman" w:hAnsi="Times New Roman" w:cs="Times New Roman"/>
          <w:sz w:val="24"/>
          <w:szCs w:val="24"/>
        </w:rPr>
      </w:pPr>
      <w:r w:rsidRPr="006902AD">
        <w:rPr>
          <w:rFonts w:ascii="Times New Roman" w:hAnsi="Times New Roman" w:cs="Times New Roman"/>
          <w:sz w:val="24"/>
          <w:szCs w:val="24"/>
        </w:rPr>
        <w:t>PIPE P&amp;ID SYMBOLS</w:t>
      </w:r>
    </w:p>
    <w:tbl>
      <w:tblPr>
        <w:tblW w:w="4774" w:type="dxa"/>
        <w:shd w:val="clear" w:color="auto" w:fill="FFFFFF"/>
        <w:tblCellMar>
          <w:top w:w="15" w:type="dxa"/>
          <w:left w:w="15" w:type="dxa"/>
          <w:bottom w:w="15" w:type="dxa"/>
          <w:right w:w="15" w:type="dxa"/>
        </w:tblCellMar>
        <w:tblLook w:val="04A0" w:firstRow="1" w:lastRow="0" w:firstColumn="1" w:lastColumn="0" w:noHBand="0" w:noVBand="1"/>
      </w:tblPr>
      <w:tblGrid>
        <w:gridCol w:w="1294"/>
        <w:gridCol w:w="3480"/>
      </w:tblGrid>
      <w:tr w:rsidR="006902AD" w:rsidRPr="00000611" w:rsidTr="00000611">
        <w:tc>
          <w:tcPr>
            <w:tcW w:w="129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53987661" wp14:editId="1B0255C3">
                  <wp:extent cx="342900" cy="660400"/>
                  <wp:effectExtent l="0" t="0" r="0" b="6350"/>
                  <wp:docPr id="6" name="Picture 6" descr="Clamped Flange Coupling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amped Flange Coupling P&amp;ID symb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660400"/>
                          </a:xfrm>
                          <a:prstGeom prst="rect">
                            <a:avLst/>
                          </a:prstGeom>
                          <a:noFill/>
                          <a:ln>
                            <a:noFill/>
                          </a:ln>
                        </pic:spPr>
                      </pic:pic>
                    </a:graphicData>
                  </a:graphic>
                </wp:inline>
              </w:drawing>
            </w:r>
          </w:p>
        </w:tc>
        <w:tc>
          <w:tcPr>
            <w:tcW w:w="34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Clamped Flange Coupling symbol</w:t>
            </w:r>
          </w:p>
        </w:tc>
      </w:tr>
      <w:tr w:rsidR="006902AD" w:rsidRPr="00000611" w:rsidTr="00000611">
        <w:tc>
          <w:tcPr>
            <w:tcW w:w="129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6E1B1ED2" wp14:editId="217A5235">
                  <wp:extent cx="285750" cy="609600"/>
                  <wp:effectExtent l="0" t="0" r="0" b="0"/>
                  <wp:docPr id="7" name="Picture 7" descr="Coupling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upling P&amp;ID symb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609600"/>
                          </a:xfrm>
                          <a:prstGeom prst="rect">
                            <a:avLst/>
                          </a:prstGeom>
                          <a:noFill/>
                          <a:ln>
                            <a:noFill/>
                          </a:ln>
                        </pic:spPr>
                      </pic:pic>
                    </a:graphicData>
                  </a:graphic>
                </wp:inline>
              </w:drawing>
            </w:r>
          </w:p>
        </w:tc>
        <w:tc>
          <w:tcPr>
            <w:tcW w:w="34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Coupling symbol</w:t>
            </w:r>
          </w:p>
        </w:tc>
      </w:tr>
      <w:tr w:rsidR="006902AD" w:rsidRPr="00000611" w:rsidTr="00000611">
        <w:tc>
          <w:tcPr>
            <w:tcW w:w="129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3B6E773F" wp14:editId="17E17D90">
                  <wp:extent cx="342900" cy="527050"/>
                  <wp:effectExtent l="0" t="0" r="0" b="6350"/>
                  <wp:docPr id="8" name="Picture 8" descr="End Caps 01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d Caps 01 P&amp;ID symbo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900" cy="527050"/>
                          </a:xfrm>
                          <a:prstGeom prst="rect">
                            <a:avLst/>
                          </a:prstGeom>
                          <a:noFill/>
                          <a:ln>
                            <a:noFill/>
                          </a:ln>
                        </pic:spPr>
                      </pic:pic>
                    </a:graphicData>
                  </a:graphic>
                </wp:inline>
              </w:drawing>
            </w:r>
          </w:p>
        </w:tc>
        <w:tc>
          <w:tcPr>
            <w:tcW w:w="34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End Caps 01 symbol</w:t>
            </w:r>
          </w:p>
        </w:tc>
      </w:tr>
      <w:tr w:rsidR="006902AD" w:rsidRPr="00000611" w:rsidTr="00000611">
        <w:tc>
          <w:tcPr>
            <w:tcW w:w="129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1907EB0C" wp14:editId="5FD0F670">
                  <wp:extent cx="266700" cy="457200"/>
                  <wp:effectExtent l="0" t="0" r="0" b="0"/>
                  <wp:docPr id="9" name="Picture 9" descr="End Caps 02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d Caps 02 P&amp;ID symb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457200"/>
                          </a:xfrm>
                          <a:prstGeom prst="rect">
                            <a:avLst/>
                          </a:prstGeom>
                          <a:noFill/>
                          <a:ln>
                            <a:noFill/>
                          </a:ln>
                        </pic:spPr>
                      </pic:pic>
                    </a:graphicData>
                  </a:graphic>
                </wp:inline>
              </w:drawing>
            </w:r>
          </w:p>
        </w:tc>
        <w:tc>
          <w:tcPr>
            <w:tcW w:w="34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End Caps 02 symbol</w:t>
            </w:r>
          </w:p>
        </w:tc>
      </w:tr>
      <w:tr w:rsidR="006902AD" w:rsidRPr="00000611" w:rsidTr="00000611">
        <w:tc>
          <w:tcPr>
            <w:tcW w:w="129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382045BD" wp14:editId="49203B67">
                  <wp:extent cx="152400" cy="444500"/>
                  <wp:effectExtent l="0" t="0" r="0" b="0"/>
                  <wp:docPr id="10" name="Picture 10" descr="Flang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nge P&amp;ID symbo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444500"/>
                          </a:xfrm>
                          <a:prstGeom prst="rect">
                            <a:avLst/>
                          </a:prstGeom>
                          <a:noFill/>
                          <a:ln>
                            <a:noFill/>
                          </a:ln>
                        </pic:spPr>
                      </pic:pic>
                    </a:graphicData>
                  </a:graphic>
                </wp:inline>
              </w:drawing>
            </w:r>
          </w:p>
        </w:tc>
        <w:tc>
          <w:tcPr>
            <w:tcW w:w="34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Flange symbol</w:t>
            </w:r>
          </w:p>
        </w:tc>
      </w:tr>
      <w:tr w:rsidR="006902AD" w:rsidRPr="00000611" w:rsidTr="00000611">
        <w:tc>
          <w:tcPr>
            <w:tcW w:w="129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5D79BD6E" wp14:editId="22650ACB">
                  <wp:extent cx="514350" cy="463550"/>
                  <wp:effectExtent l="0" t="0" r="0" b="0"/>
                  <wp:docPr id="11" name="Picture 11" descr="Flanges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anges P&amp;ID symbo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350" cy="463550"/>
                          </a:xfrm>
                          <a:prstGeom prst="rect">
                            <a:avLst/>
                          </a:prstGeom>
                          <a:noFill/>
                          <a:ln>
                            <a:noFill/>
                          </a:ln>
                        </pic:spPr>
                      </pic:pic>
                    </a:graphicData>
                  </a:graphic>
                </wp:inline>
              </w:drawing>
            </w:r>
          </w:p>
        </w:tc>
        <w:tc>
          <w:tcPr>
            <w:tcW w:w="34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Flanges symbol</w:t>
            </w:r>
          </w:p>
        </w:tc>
      </w:tr>
    </w:tbl>
    <w:p w:rsidR="00000611" w:rsidRPr="006902AD" w:rsidRDefault="00000611">
      <w:pPr>
        <w:rPr>
          <w:rFonts w:ascii="Times New Roman" w:hAnsi="Times New Roman" w:cs="Times New Roman"/>
          <w:sz w:val="24"/>
          <w:szCs w:val="24"/>
        </w:rPr>
      </w:pPr>
    </w:p>
    <w:p w:rsidR="006902AD" w:rsidRPr="006902AD" w:rsidRDefault="006902AD">
      <w:pPr>
        <w:rPr>
          <w:rFonts w:ascii="Times New Roman" w:hAnsi="Times New Roman" w:cs="Times New Roman"/>
          <w:sz w:val="24"/>
          <w:szCs w:val="24"/>
        </w:rPr>
      </w:pPr>
    </w:p>
    <w:p w:rsidR="00000611" w:rsidRPr="006902AD" w:rsidRDefault="00000611">
      <w:pPr>
        <w:rPr>
          <w:rFonts w:ascii="Times New Roman" w:hAnsi="Times New Roman" w:cs="Times New Roman"/>
          <w:sz w:val="24"/>
          <w:szCs w:val="24"/>
        </w:rPr>
      </w:pPr>
      <w:r w:rsidRPr="006902AD">
        <w:rPr>
          <w:rFonts w:ascii="Times New Roman" w:hAnsi="Times New Roman" w:cs="Times New Roman"/>
          <w:sz w:val="24"/>
          <w:szCs w:val="24"/>
        </w:rPr>
        <w:t>VALVES P&amp;ID SYMBOLS</w:t>
      </w:r>
    </w:p>
    <w:tbl>
      <w:tblPr>
        <w:tblW w:w="4826" w:type="dxa"/>
        <w:shd w:val="clear" w:color="auto" w:fill="FFFFFF"/>
        <w:tblCellMar>
          <w:top w:w="15" w:type="dxa"/>
          <w:left w:w="15" w:type="dxa"/>
          <w:bottom w:w="15" w:type="dxa"/>
          <w:right w:w="15" w:type="dxa"/>
        </w:tblCellMar>
        <w:tblLook w:val="04A0" w:firstRow="1" w:lastRow="0" w:firstColumn="1" w:lastColumn="0" w:noHBand="0" w:noVBand="1"/>
      </w:tblPr>
      <w:tblGrid>
        <w:gridCol w:w="1876"/>
        <w:gridCol w:w="2950"/>
      </w:tblGrid>
      <w:tr w:rsidR="006902AD" w:rsidRPr="00000611" w:rsidTr="00000611">
        <w:tc>
          <w:tcPr>
            <w:tcW w:w="18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Gate Valve symbol</w:t>
            </w:r>
          </w:p>
        </w:tc>
        <w:tc>
          <w:tcPr>
            <w:tcW w:w="29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jc w:val="center"/>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69F58B51" wp14:editId="0BEE98E4">
                  <wp:extent cx="876300" cy="425450"/>
                  <wp:effectExtent l="0" t="0" r="0" b="0"/>
                  <wp:docPr id="12" name="Picture 12" descr="Gate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te Valve P&amp;ID symbo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425450"/>
                          </a:xfrm>
                          <a:prstGeom prst="rect">
                            <a:avLst/>
                          </a:prstGeom>
                          <a:noFill/>
                          <a:ln>
                            <a:noFill/>
                          </a:ln>
                        </pic:spPr>
                      </pic:pic>
                    </a:graphicData>
                  </a:graphic>
                </wp:inline>
              </w:drawing>
            </w:r>
          </w:p>
        </w:tc>
      </w:tr>
      <w:tr w:rsidR="006902AD" w:rsidRPr="00000611" w:rsidTr="00000611">
        <w:tc>
          <w:tcPr>
            <w:tcW w:w="18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Normally Closed Gate Valve symbol</w:t>
            </w:r>
          </w:p>
        </w:tc>
        <w:tc>
          <w:tcPr>
            <w:tcW w:w="29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jc w:val="center"/>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036205C3" wp14:editId="6283CD80">
                  <wp:extent cx="908050" cy="444500"/>
                  <wp:effectExtent l="0" t="0" r="6350" b="0"/>
                  <wp:docPr id="13" name="Picture 13" descr="Normally Closed Gate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rmally Closed Gate Valve P&amp;ID symbo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8050" cy="444500"/>
                          </a:xfrm>
                          <a:prstGeom prst="rect">
                            <a:avLst/>
                          </a:prstGeom>
                          <a:noFill/>
                          <a:ln>
                            <a:noFill/>
                          </a:ln>
                        </pic:spPr>
                      </pic:pic>
                    </a:graphicData>
                  </a:graphic>
                </wp:inline>
              </w:drawing>
            </w:r>
          </w:p>
        </w:tc>
      </w:tr>
      <w:tr w:rsidR="006902AD" w:rsidRPr="00000611" w:rsidTr="00000611">
        <w:tc>
          <w:tcPr>
            <w:tcW w:w="18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Ball Valve symbol</w:t>
            </w:r>
          </w:p>
        </w:tc>
        <w:tc>
          <w:tcPr>
            <w:tcW w:w="29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jc w:val="center"/>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1865C6B9" wp14:editId="138572D0">
                  <wp:extent cx="857250" cy="406400"/>
                  <wp:effectExtent l="0" t="0" r="0" b="0"/>
                  <wp:docPr id="14" name="Picture 14" descr="Ball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ll Valve P&amp;ID symbo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0" cy="406400"/>
                          </a:xfrm>
                          <a:prstGeom prst="rect">
                            <a:avLst/>
                          </a:prstGeom>
                          <a:noFill/>
                          <a:ln>
                            <a:noFill/>
                          </a:ln>
                        </pic:spPr>
                      </pic:pic>
                    </a:graphicData>
                  </a:graphic>
                </wp:inline>
              </w:drawing>
            </w:r>
          </w:p>
        </w:tc>
      </w:tr>
      <w:tr w:rsidR="006902AD" w:rsidRPr="00000611" w:rsidTr="00000611">
        <w:tc>
          <w:tcPr>
            <w:tcW w:w="18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Normally Closed Ball Valve symbol</w:t>
            </w:r>
          </w:p>
        </w:tc>
        <w:tc>
          <w:tcPr>
            <w:tcW w:w="29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jc w:val="center"/>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36A6CE16" wp14:editId="383CE2CF">
                  <wp:extent cx="914400" cy="457200"/>
                  <wp:effectExtent l="0" t="0" r="0" b="0"/>
                  <wp:docPr id="15" name="Picture 15" descr="normally closed ball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rmally closed ball valve P&amp;ID symbo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r>
      <w:tr w:rsidR="006902AD" w:rsidRPr="00000611" w:rsidTr="00000611">
        <w:tc>
          <w:tcPr>
            <w:tcW w:w="18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rPr>
                <w:rFonts w:ascii="Times New Roman" w:eastAsia="Times New Roman" w:hAnsi="Times New Roman" w:cs="Times New Roman"/>
                <w:sz w:val="24"/>
                <w:szCs w:val="24"/>
              </w:rPr>
            </w:pPr>
            <w:r w:rsidRPr="00000611">
              <w:rPr>
                <w:rFonts w:ascii="Times New Roman" w:eastAsia="Times New Roman" w:hAnsi="Times New Roman" w:cs="Times New Roman"/>
                <w:sz w:val="24"/>
                <w:szCs w:val="24"/>
              </w:rPr>
              <w:t>Globe Valve symbol</w:t>
            </w:r>
          </w:p>
        </w:tc>
        <w:tc>
          <w:tcPr>
            <w:tcW w:w="29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000611" w:rsidRPr="00000611" w:rsidRDefault="00000611" w:rsidP="00000611">
            <w:pPr>
              <w:spacing w:after="0" w:line="240" w:lineRule="auto"/>
              <w:jc w:val="center"/>
              <w:rPr>
                <w:rFonts w:ascii="Times New Roman" w:eastAsia="Times New Roman" w:hAnsi="Times New Roman" w:cs="Times New Roman"/>
                <w:sz w:val="24"/>
                <w:szCs w:val="24"/>
              </w:rPr>
            </w:pPr>
            <w:r w:rsidRPr="00000611">
              <w:rPr>
                <w:rFonts w:ascii="Times New Roman" w:eastAsia="Times New Roman" w:hAnsi="Times New Roman" w:cs="Times New Roman"/>
                <w:noProof/>
                <w:sz w:val="24"/>
                <w:szCs w:val="24"/>
              </w:rPr>
              <w:drawing>
                <wp:inline distT="0" distB="0" distL="0" distR="0" wp14:anchorId="059D38BD" wp14:editId="7B966420">
                  <wp:extent cx="889000" cy="444500"/>
                  <wp:effectExtent l="0" t="0" r="6350" b="0"/>
                  <wp:docPr id="16" name="Picture 16" descr="globe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lobe valve P&amp;ID symbo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9000" cy="444500"/>
                          </a:xfrm>
                          <a:prstGeom prst="rect">
                            <a:avLst/>
                          </a:prstGeom>
                          <a:noFill/>
                          <a:ln>
                            <a:noFill/>
                          </a:ln>
                        </pic:spPr>
                      </pic:pic>
                    </a:graphicData>
                  </a:graphic>
                </wp:inline>
              </w:drawing>
            </w:r>
          </w:p>
        </w:tc>
      </w:tr>
    </w:tbl>
    <w:p w:rsidR="00000611" w:rsidRPr="006902AD" w:rsidRDefault="00000611">
      <w:pPr>
        <w:rPr>
          <w:rFonts w:ascii="Times New Roman" w:hAnsi="Times New Roman" w:cs="Times New Roman"/>
          <w:sz w:val="24"/>
          <w:szCs w:val="24"/>
        </w:rPr>
      </w:pPr>
      <w:r w:rsidRPr="006902AD">
        <w:rPr>
          <w:rFonts w:ascii="Times New Roman" w:hAnsi="Times New Roman" w:cs="Times New Roman"/>
          <w:sz w:val="24"/>
          <w:szCs w:val="24"/>
        </w:rPr>
        <w:t xml:space="preserve"> </w:t>
      </w:r>
    </w:p>
    <w:p w:rsidR="006902AD" w:rsidRPr="006902AD" w:rsidRDefault="006902AD">
      <w:pPr>
        <w:rPr>
          <w:rFonts w:ascii="Times New Roman" w:hAnsi="Times New Roman" w:cs="Times New Roman"/>
          <w:sz w:val="24"/>
          <w:szCs w:val="24"/>
        </w:rPr>
      </w:pPr>
    </w:p>
    <w:p w:rsidR="00000611" w:rsidRPr="006902AD" w:rsidRDefault="00000611">
      <w:pPr>
        <w:rPr>
          <w:rFonts w:ascii="Times New Roman" w:hAnsi="Times New Roman" w:cs="Times New Roman"/>
          <w:sz w:val="24"/>
          <w:szCs w:val="24"/>
        </w:rPr>
      </w:pPr>
      <w:r w:rsidRPr="006902AD">
        <w:rPr>
          <w:rFonts w:ascii="Times New Roman" w:hAnsi="Times New Roman" w:cs="Times New Roman"/>
          <w:sz w:val="24"/>
          <w:szCs w:val="24"/>
        </w:rPr>
        <w:lastRenderedPageBreak/>
        <w:t>FILTERS P&amp;ID SYMBOLS</w:t>
      </w:r>
    </w:p>
    <w:p w:rsidR="006902AD" w:rsidRPr="006902AD" w:rsidRDefault="00000611">
      <w:pPr>
        <w:rPr>
          <w:rFonts w:ascii="Times New Roman" w:hAnsi="Times New Roman" w:cs="Times New Roman"/>
          <w:sz w:val="24"/>
          <w:szCs w:val="24"/>
        </w:rPr>
      </w:pPr>
      <w:r w:rsidRPr="006902AD">
        <w:rPr>
          <w:rFonts w:ascii="Times New Roman" w:hAnsi="Times New Roman" w:cs="Times New Roman"/>
          <w:noProof/>
          <w:sz w:val="24"/>
          <w:szCs w:val="24"/>
        </w:rPr>
        <w:drawing>
          <wp:inline distT="0" distB="0" distL="0" distR="0" wp14:anchorId="04CBACD5" wp14:editId="14B220C7">
            <wp:extent cx="5941040" cy="2571750"/>
            <wp:effectExtent l="0" t="0" r="3175" b="0"/>
            <wp:docPr id="17" name="Picture 17" descr="Filters P&amp;I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ters P&amp;ID symbo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572858"/>
                    </a:xfrm>
                    <a:prstGeom prst="rect">
                      <a:avLst/>
                    </a:prstGeom>
                    <a:noFill/>
                    <a:ln>
                      <a:noFill/>
                    </a:ln>
                  </pic:spPr>
                </pic:pic>
              </a:graphicData>
            </a:graphic>
          </wp:inline>
        </w:drawing>
      </w:r>
    </w:p>
    <w:p w:rsidR="006902AD" w:rsidRPr="006902AD" w:rsidRDefault="006902AD">
      <w:pPr>
        <w:rPr>
          <w:rFonts w:ascii="Times New Roman" w:hAnsi="Times New Roman" w:cs="Times New Roman"/>
          <w:sz w:val="24"/>
          <w:szCs w:val="24"/>
        </w:rPr>
      </w:pPr>
    </w:p>
    <w:p w:rsidR="006902AD" w:rsidRPr="006902AD" w:rsidRDefault="006902AD">
      <w:pPr>
        <w:rPr>
          <w:rFonts w:ascii="Times New Roman" w:hAnsi="Times New Roman" w:cs="Times New Roman"/>
          <w:sz w:val="24"/>
          <w:szCs w:val="24"/>
        </w:rPr>
      </w:pPr>
    </w:p>
    <w:p w:rsidR="006902AD" w:rsidRPr="006902AD" w:rsidRDefault="006902AD">
      <w:pPr>
        <w:rPr>
          <w:rFonts w:ascii="Times New Roman" w:hAnsi="Times New Roman" w:cs="Times New Roman"/>
          <w:sz w:val="24"/>
          <w:szCs w:val="24"/>
        </w:rPr>
      </w:pPr>
    </w:p>
    <w:p w:rsidR="006902AD" w:rsidRPr="006902AD" w:rsidRDefault="006902AD">
      <w:pPr>
        <w:rPr>
          <w:rFonts w:ascii="Times New Roman" w:hAnsi="Times New Roman" w:cs="Times New Roman"/>
          <w:sz w:val="24"/>
          <w:szCs w:val="24"/>
        </w:rPr>
      </w:pPr>
    </w:p>
    <w:p w:rsidR="006902AD" w:rsidRPr="006902AD" w:rsidRDefault="006902AD">
      <w:pPr>
        <w:rPr>
          <w:rFonts w:ascii="Times New Roman" w:hAnsi="Times New Roman" w:cs="Times New Roman"/>
          <w:sz w:val="24"/>
          <w:szCs w:val="24"/>
        </w:rPr>
      </w:pPr>
      <w:r w:rsidRPr="006902AD">
        <w:rPr>
          <w:rFonts w:ascii="Times New Roman" w:hAnsi="Times New Roman" w:cs="Times New Roman"/>
          <w:sz w:val="24"/>
          <w:szCs w:val="24"/>
        </w:rPr>
        <w:t>INSTRUMENTS P&amp;ID SYMBOLS</w:t>
      </w:r>
    </w:p>
    <w:tbl>
      <w:tblPr>
        <w:tblW w:w="4523" w:type="dxa"/>
        <w:shd w:val="clear" w:color="auto" w:fill="FFFFFF"/>
        <w:tblCellMar>
          <w:top w:w="15" w:type="dxa"/>
          <w:left w:w="15" w:type="dxa"/>
          <w:bottom w:w="15" w:type="dxa"/>
          <w:right w:w="15" w:type="dxa"/>
        </w:tblCellMar>
        <w:tblLook w:val="04A0" w:firstRow="1" w:lastRow="0" w:firstColumn="1" w:lastColumn="0" w:noHBand="0" w:noVBand="1"/>
      </w:tblPr>
      <w:tblGrid>
        <w:gridCol w:w="1444"/>
        <w:gridCol w:w="3079"/>
      </w:tblGrid>
      <w:tr w:rsidR="006902AD" w:rsidRPr="006902AD" w:rsidTr="006902AD">
        <w:tc>
          <w:tcPr>
            <w:tcW w:w="14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noProof/>
                <w:sz w:val="24"/>
                <w:szCs w:val="24"/>
              </w:rPr>
              <w:drawing>
                <wp:inline distT="0" distB="0" distL="0" distR="0" wp14:anchorId="1F25318E" wp14:editId="70EAD612">
                  <wp:extent cx="533400" cy="527050"/>
                  <wp:effectExtent l="0" t="0" r="0" b="6350"/>
                  <wp:docPr id="18" name="Picture 18" descr="Analyser Transmitter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alyser Transmitter P&amp;ID symbo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inline>
              </w:drawing>
            </w:r>
          </w:p>
        </w:tc>
        <w:tc>
          <w:tcPr>
            <w:tcW w:w="30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sz w:val="24"/>
                <w:szCs w:val="24"/>
              </w:rPr>
              <w:t>Analyzer Transmitter symbol</w:t>
            </w:r>
          </w:p>
        </w:tc>
      </w:tr>
      <w:tr w:rsidR="006902AD" w:rsidRPr="006902AD" w:rsidTr="006902AD">
        <w:tc>
          <w:tcPr>
            <w:tcW w:w="14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noProof/>
                <w:sz w:val="24"/>
                <w:szCs w:val="24"/>
              </w:rPr>
              <w:drawing>
                <wp:inline distT="0" distB="0" distL="0" distR="0" wp14:anchorId="05F98028" wp14:editId="4FB641D1">
                  <wp:extent cx="527050" cy="527050"/>
                  <wp:effectExtent l="0" t="0" r="6350" b="6350"/>
                  <wp:docPr id="19" name="Picture 19" descr="AND Gat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D Gate P&amp;ID symbo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c>
          <w:tcPr>
            <w:tcW w:w="30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sz w:val="24"/>
                <w:szCs w:val="24"/>
              </w:rPr>
              <w:t>AND Gate symbol</w:t>
            </w:r>
          </w:p>
        </w:tc>
      </w:tr>
      <w:tr w:rsidR="006902AD" w:rsidRPr="006902AD" w:rsidTr="006902AD">
        <w:tc>
          <w:tcPr>
            <w:tcW w:w="14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noProof/>
                <w:sz w:val="24"/>
                <w:szCs w:val="24"/>
              </w:rPr>
              <w:drawing>
                <wp:inline distT="0" distB="0" distL="0" distR="0" wp14:anchorId="0263EB09" wp14:editId="4E3C6C58">
                  <wp:extent cx="533400" cy="533400"/>
                  <wp:effectExtent l="0" t="0" r="0" b="0"/>
                  <wp:docPr id="20" name="Picture 20" descr="Averaging Pitot Tub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veraging Pitot Tube P&amp;ID symbo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30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sz w:val="24"/>
                <w:szCs w:val="24"/>
              </w:rPr>
              <w:t>Averaging Pitot Tube symbol</w:t>
            </w:r>
          </w:p>
        </w:tc>
      </w:tr>
      <w:tr w:rsidR="006902AD" w:rsidRPr="006902AD" w:rsidTr="006902AD">
        <w:tc>
          <w:tcPr>
            <w:tcW w:w="14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noProof/>
                <w:sz w:val="24"/>
                <w:szCs w:val="24"/>
              </w:rPr>
              <w:drawing>
                <wp:inline distT="0" distB="0" distL="0" distR="0" wp14:anchorId="4F514F2E" wp14:editId="7D5769D4">
                  <wp:extent cx="501650" cy="501650"/>
                  <wp:effectExtent l="0" t="0" r="0" b="0"/>
                  <wp:docPr id="21" name="Picture 21" descr="Behind Control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hind Control P&amp;ID symbo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30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sz w:val="24"/>
                <w:szCs w:val="24"/>
              </w:rPr>
              <w:t>Behind Control symbol</w:t>
            </w:r>
          </w:p>
        </w:tc>
      </w:tr>
      <w:tr w:rsidR="006902AD" w:rsidRPr="006902AD" w:rsidTr="006902AD">
        <w:tc>
          <w:tcPr>
            <w:tcW w:w="14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noProof/>
                <w:sz w:val="24"/>
                <w:szCs w:val="24"/>
              </w:rPr>
              <w:drawing>
                <wp:inline distT="0" distB="0" distL="0" distR="0" wp14:anchorId="512B1658" wp14:editId="7D051AB0">
                  <wp:extent cx="546100" cy="533400"/>
                  <wp:effectExtent l="0" t="0" r="6350" b="0"/>
                  <wp:docPr id="22" name="Picture 22" descr="Behind Local Control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ehind Local Control P&amp;ID symbo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6100" cy="533400"/>
                          </a:xfrm>
                          <a:prstGeom prst="rect">
                            <a:avLst/>
                          </a:prstGeom>
                          <a:noFill/>
                          <a:ln>
                            <a:noFill/>
                          </a:ln>
                        </pic:spPr>
                      </pic:pic>
                    </a:graphicData>
                  </a:graphic>
                </wp:inline>
              </w:drawing>
            </w:r>
          </w:p>
        </w:tc>
        <w:tc>
          <w:tcPr>
            <w:tcW w:w="30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sz w:val="24"/>
                <w:szCs w:val="24"/>
              </w:rPr>
              <w:t>Behind Local Control symbol</w:t>
            </w:r>
          </w:p>
        </w:tc>
      </w:tr>
      <w:tr w:rsidR="006902AD" w:rsidRPr="006902AD" w:rsidTr="006902AD">
        <w:tc>
          <w:tcPr>
            <w:tcW w:w="144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noProof/>
                <w:sz w:val="24"/>
                <w:szCs w:val="24"/>
              </w:rPr>
              <w:drawing>
                <wp:inline distT="0" distB="0" distL="0" distR="0" wp14:anchorId="2FE2D11F" wp14:editId="2B7D70E6">
                  <wp:extent cx="603250" cy="400050"/>
                  <wp:effectExtent l="0" t="0" r="6350" b="0"/>
                  <wp:docPr id="23" name="Picture 23" descr="Computer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mputer P&amp;ID symb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3250" cy="400050"/>
                          </a:xfrm>
                          <a:prstGeom prst="rect">
                            <a:avLst/>
                          </a:prstGeom>
                          <a:noFill/>
                          <a:ln>
                            <a:noFill/>
                          </a:ln>
                        </pic:spPr>
                      </pic:pic>
                    </a:graphicData>
                  </a:graphic>
                </wp:inline>
              </w:drawing>
            </w:r>
          </w:p>
        </w:tc>
        <w:tc>
          <w:tcPr>
            <w:tcW w:w="3070" w:type="dxa"/>
            <w:tcBorders>
              <w:top w:val="single" w:sz="6" w:space="0" w:color="E5E5E5"/>
              <w:left w:val="single" w:sz="6" w:space="0" w:color="E5E5E5"/>
              <w:bottom w:val="single" w:sz="6" w:space="0" w:color="E5E5E5"/>
              <w:right w:val="single" w:sz="6" w:space="0" w:color="E5E5E5"/>
            </w:tcBorders>
            <w:shd w:val="clear" w:color="auto" w:fill="FFFFFF"/>
            <w:vAlign w:val="center"/>
            <w:hideMark/>
          </w:tcPr>
          <w:p w:rsidR="006902AD" w:rsidRPr="006902AD" w:rsidRDefault="006902AD" w:rsidP="006902AD">
            <w:pPr>
              <w:spacing w:after="0" w:line="240" w:lineRule="auto"/>
              <w:rPr>
                <w:rFonts w:ascii="Times New Roman" w:eastAsia="Times New Roman" w:hAnsi="Times New Roman" w:cs="Times New Roman"/>
                <w:sz w:val="24"/>
                <w:szCs w:val="24"/>
              </w:rPr>
            </w:pPr>
            <w:r w:rsidRPr="006902AD">
              <w:rPr>
                <w:rFonts w:ascii="Times New Roman" w:eastAsia="Times New Roman" w:hAnsi="Times New Roman" w:cs="Times New Roman"/>
                <w:sz w:val="24"/>
                <w:szCs w:val="24"/>
              </w:rPr>
              <w:t>Computer symbol</w:t>
            </w:r>
          </w:p>
        </w:tc>
      </w:tr>
    </w:tbl>
    <w:p w:rsidR="006902AD" w:rsidRPr="006902AD" w:rsidRDefault="006902AD">
      <w:pPr>
        <w:rPr>
          <w:rFonts w:ascii="Times New Roman" w:hAnsi="Times New Roman" w:cs="Times New Roman"/>
          <w:sz w:val="24"/>
          <w:szCs w:val="24"/>
        </w:rPr>
      </w:pPr>
    </w:p>
    <w:p w:rsidR="006902AD" w:rsidRPr="006902AD" w:rsidRDefault="006902AD">
      <w:pPr>
        <w:rPr>
          <w:rFonts w:ascii="Times New Roman" w:hAnsi="Times New Roman" w:cs="Times New Roman"/>
          <w:sz w:val="24"/>
          <w:szCs w:val="24"/>
        </w:rPr>
      </w:pPr>
      <w:r w:rsidRPr="006902AD">
        <w:rPr>
          <w:rFonts w:ascii="Times New Roman" w:hAnsi="Times New Roman" w:cs="Times New Roman"/>
          <w:sz w:val="24"/>
          <w:szCs w:val="24"/>
        </w:rPr>
        <w:lastRenderedPageBreak/>
        <w:t>SOME ABBREVIATIONS</w:t>
      </w:r>
    </w:p>
    <w:p w:rsidR="006902AD" w:rsidRPr="006902AD" w:rsidRDefault="006902AD">
      <w:pPr>
        <w:rPr>
          <w:rFonts w:ascii="Times New Roman" w:hAnsi="Times New Roman" w:cs="Times New Roman"/>
          <w:sz w:val="24"/>
          <w:szCs w:val="24"/>
        </w:rPr>
      </w:pPr>
      <w:r w:rsidRPr="006902AD">
        <w:rPr>
          <w:rFonts w:ascii="Times New Roman" w:hAnsi="Times New Roman" w:cs="Times New Roman"/>
          <w:noProof/>
          <w:sz w:val="24"/>
          <w:szCs w:val="24"/>
        </w:rPr>
        <w:drawing>
          <wp:inline distT="0" distB="0" distL="0" distR="0" wp14:anchorId="5C1CABCC" wp14:editId="52F7900B">
            <wp:extent cx="5943600" cy="3739669"/>
            <wp:effectExtent l="0" t="0" r="0" b="0"/>
            <wp:docPr id="24" name="Picture 24" descr="P&amp;ID Instrumen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mp;ID Instrument Symbol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739669"/>
                    </a:xfrm>
                    <a:prstGeom prst="rect">
                      <a:avLst/>
                    </a:prstGeom>
                    <a:noFill/>
                    <a:ln>
                      <a:noFill/>
                    </a:ln>
                  </pic:spPr>
                </pic:pic>
              </a:graphicData>
            </a:graphic>
          </wp:inline>
        </w:drawing>
      </w:r>
    </w:p>
    <w:sectPr w:rsidR="006902AD" w:rsidRPr="006902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FF" w:rsidRDefault="00342CFF" w:rsidP="00000611">
      <w:pPr>
        <w:spacing w:after="0" w:line="240" w:lineRule="auto"/>
      </w:pPr>
      <w:r>
        <w:separator/>
      </w:r>
    </w:p>
  </w:endnote>
  <w:endnote w:type="continuationSeparator" w:id="0">
    <w:p w:rsidR="00342CFF" w:rsidRDefault="00342CFF" w:rsidP="0000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FF" w:rsidRDefault="00342CFF" w:rsidP="00000611">
      <w:pPr>
        <w:spacing w:after="0" w:line="240" w:lineRule="auto"/>
      </w:pPr>
      <w:r>
        <w:separator/>
      </w:r>
    </w:p>
  </w:footnote>
  <w:footnote w:type="continuationSeparator" w:id="0">
    <w:p w:rsidR="00342CFF" w:rsidRDefault="00342CFF" w:rsidP="00000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536F"/>
    <w:multiLevelType w:val="multilevel"/>
    <w:tmpl w:val="3B3E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7017A"/>
    <w:multiLevelType w:val="multilevel"/>
    <w:tmpl w:val="B9C43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A72B2"/>
    <w:multiLevelType w:val="multilevel"/>
    <w:tmpl w:val="D1183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4744F"/>
    <w:multiLevelType w:val="multilevel"/>
    <w:tmpl w:val="AB9E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B0842"/>
    <w:multiLevelType w:val="multilevel"/>
    <w:tmpl w:val="F1D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54"/>
    <w:rsid w:val="00000611"/>
    <w:rsid w:val="00133048"/>
    <w:rsid w:val="00342CFF"/>
    <w:rsid w:val="006902AD"/>
    <w:rsid w:val="00D0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54"/>
    <w:rPr>
      <w:rFonts w:ascii="Tahoma" w:hAnsi="Tahoma" w:cs="Tahoma"/>
      <w:sz w:val="16"/>
      <w:szCs w:val="16"/>
    </w:rPr>
  </w:style>
  <w:style w:type="paragraph" w:styleId="Header">
    <w:name w:val="header"/>
    <w:basedOn w:val="Normal"/>
    <w:link w:val="HeaderChar"/>
    <w:uiPriority w:val="99"/>
    <w:unhideWhenUsed/>
    <w:rsid w:val="0000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11"/>
  </w:style>
  <w:style w:type="paragraph" w:styleId="Footer">
    <w:name w:val="footer"/>
    <w:basedOn w:val="Normal"/>
    <w:link w:val="FooterChar"/>
    <w:uiPriority w:val="99"/>
    <w:unhideWhenUsed/>
    <w:rsid w:val="0000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54"/>
    <w:rPr>
      <w:rFonts w:ascii="Tahoma" w:hAnsi="Tahoma" w:cs="Tahoma"/>
      <w:sz w:val="16"/>
      <w:szCs w:val="16"/>
    </w:rPr>
  </w:style>
  <w:style w:type="paragraph" w:styleId="Header">
    <w:name w:val="header"/>
    <w:basedOn w:val="Normal"/>
    <w:link w:val="HeaderChar"/>
    <w:uiPriority w:val="99"/>
    <w:unhideWhenUsed/>
    <w:rsid w:val="0000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11"/>
  </w:style>
  <w:style w:type="paragraph" w:styleId="Footer">
    <w:name w:val="footer"/>
    <w:basedOn w:val="Normal"/>
    <w:link w:val="FooterChar"/>
    <w:uiPriority w:val="99"/>
    <w:unhideWhenUsed/>
    <w:rsid w:val="0000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5141">
      <w:bodyDiv w:val="1"/>
      <w:marLeft w:val="0"/>
      <w:marRight w:val="0"/>
      <w:marTop w:val="0"/>
      <w:marBottom w:val="0"/>
      <w:divBdr>
        <w:top w:val="none" w:sz="0" w:space="0" w:color="auto"/>
        <w:left w:val="none" w:sz="0" w:space="0" w:color="auto"/>
        <w:bottom w:val="none" w:sz="0" w:space="0" w:color="auto"/>
        <w:right w:val="none" w:sz="0" w:space="0" w:color="auto"/>
      </w:divBdr>
    </w:div>
    <w:div w:id="499321419">
      <w:bodyDiv w:val="1"/>
      <w:marLeft w:val="0"/>
      <w:marRight w:val="0"/>
      <w:marTop w:val="0"/>
      <w:marBottom w:val="0"/>
      <w:divBdr>
        <w:top w:val="none" w:sz="0" w:space="0" w:color="auto"/>
        <w:left w:val="none" w:sz="0" w:space="0" w:color="auto"/>
        <w:bottom w:val="none" w:sz="0" w:space="0" w:color="auto"/>
        <w:right w:val="none" w:sz="0" w:space="0" w:color="auto"/>
      </w:divBdr>
    </w:div>
    <w:div w:id="736168176">
      <w:bodyDiv w:val="1"/>
      <w:marLeft w:val="0"/>
      <w:marRight w:val="0"/>
      <w:marTop w:val="0"/>
      <w:marBottom w:val="0"/>
      <w:divBdr>
        <w:top w:val="none" w:sz="0" w:space="0" w:color="auto"/>
        <w:left w:val="none" w:sz="0" w:space="0" w:color="auto"/>
        <w:bottom w:val="none" w:sz="0" w:space="0" w:color="auto"/>
        <w:right w:val="none" w:sz="0" w:space="0" w:color="auto"/>
      </w:divBdr>
    </w:div>
    <w:div w:id="816994920">
      <w:bodyDiv w:val="1"/>
      <w:marLeft w:val="0"/>
      <w:marRight w:val="0"/>
      <w:marTop w:val="0"/>
      <w:marBottom w:val="0"/>
      <w:divBdr>
        <w:top w:val="none" w:sz="0" w:space="0" w:color="auto"/>
        <w:left w:val="none" w:sz="0" w:space="0" w:color="auto"/>
        <w:bottom w:val="none" w:sz="0" w:space="0" w:color="auto"/>
        <w:right w:val="none" w:sz="0" w:space="0" w:color="auto"/>
      </w:divBdr>
    </w:div>
    <w:div w:id="1046417034">
      <w:bodyDiv w:val="1"/>
      <w:marLeft w:val="0"/>
      <w:marRight w:val="0"/>
      <w:marTop w:val="0"/>
      <w:marBottom w:val="0"/>
      <w:divBdr>
        <w:top w:val="none" w:sz="0" w:space="0" w:color="auto"/>
        <w:left w:val="none" w:sz="0" w:space="0" w:color="auto"/>
        <w:bottom w:val="none" w:sz="0" w:space="0" w:color="auto"/>
        <w:right w:val="none" w:sz="0" w:space="0" w:color="auto"/>
      </w:divBdr>
    </w:div>
    <w:div w:id="1458064930">
      <w:bodyDiv w:val="1"/>
      <w:marLeft w:val="0"/>
      <w:marRight w:val="0"/>
      <w:marTop w:val="0"/>
      <w:marBottom w:val="0"/>
      <w:divBdr>
        <w:top w:val="none" w:sz="0" w:space="0" w:color="auto"/>
        <w:left w:val="none" w:sz="0" w:space="0" w:color="auto"/>
        <w:bottom w:val="none" w:sz="0" w:space="0" w:color="auto"/>
        <w:right w:val="none" w:sz="0" w:space="0" w:color="auto"/>
      </w:divBdr>
    </w:div>
    <w:div w:id="1536117572">
      <w:bodyDiv w:val="1"/>
      <w:marLeft w:val="0"/>
      <w:marRight w:val="0"/>
      <w:marTop w:val="0"/>
      <w:marBottom w:val="0"/>
      <w:divBdr>
        <w:top w:val="none" w:sz="0" w:space="0" w:color="auto"/>
        <w:left w:val="none" w:sz="0" w:space="0" w:color="auto"/>
        <w:bottom w:val="none" w:sz="0" w:space="0" w:color="auto"/>
        <w:right w:val="none" w:sz="0" w:space="0" w:color="auto"/>
      </w:divBdr>
    </w:div>
    <w:div w:id="1933664623">
      <w:bodyDiv w:val="1"/>
      <w:marLeft w:val="0"/>
      <w:marRight w:val="0"/>
      <w:marTop w:val="0"/>
      <w:marBottom w:val="0"/>
      <w:divBdr>
        <w:top w:val="none" w:sz="0" w:space="0" w:color="auto"/>
        <w:left w:val="none" w:sz="0" w:space="0" w:color="auto"/>
        <w:bottom w:val="none" w:sz="0" w:space="0" w:color="auto"/>
        <w:right w:val="none" w:sz="0" w:space="0" w:color="auto"/>
      </w:divBdr>
    </w:div>
    <w:div w:id="1959481115">
      <w:bodyDiv w:val="1"/>
      <w:marLeft w:val="0"/>
      <w:marRight w:val="0"/>
      <w:marTop w:val="0"/>
      <w:marBottom w:val="0"/>
      <w:divBdr>
        <w:top w:val="none" w:sz="0" w:space="0" w:color="auto"/>
        <w:left w:val="none" w:sz="0" w:space="0" w:color="auto"/>
        <w:bottom w:val="none" w:sz="0" w:space="0" w:color="auto"/>
        <w:right w:val="none" w:sz="0" w:space="0" w:color="auto"/>
      </w:divBdr>
    </w:div>
    <w:div w:id="2015256474">
      <w:bodyDiv w:val="1"/>
      <w:marLeft w:val="0"/>
      <w:marRight w:val="0"/>
      <w:marTop w:val="0"/>
      <w:marBottom w:val="0"/>
      <w:divBdr>
        <w:top w:val="none" w:sz="0" w:space="0" w:color="auto"/>
        <w:left w:val="none" w:sz="0" w:space="0" w:color="auto"/>
        <w:bottom w:val="none" w:sz="0" w:space="0" w:color="auto"/>
        <w:right w:val="none" w:sz="0" w:space="0" w:color="auto"/>
      </w:divBdr>
    </w:div>
    <w:div w:id="2082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ump" TargetMode="External"/><Relationship Id="rId18" Type="http://schemas.openxmlformats.org/officeDocument/2006/relationships/hyperlink" Target="https://en.wikipedia.org/wiki/Cooling_tower" TargetMode="External"/><Relationship Id="rId26" Type="http://schemas.openxmlformats.org/officeDocument/2006/relationships/hyperlink" Target="https://en.wikipedia.org/wiki/Flange" TargetMode="External"/><Relationship Id="rId39"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en.wikipedia.org/wiki/Rupture_disc" TargetMode="External"/><Relationship Id="rId34" Type="http://schemas.openxmlformats.org/officeDocument/2006/relationships/image" Target="media/image3.jpeg"/><Relationship Id="rId42" Type="http://schemas.openxmlformats.org/officeDocument/2006/relationships/image" Target="media/image11.jpeg"/><Relationship Id="rId47" Type="http://schemas.openxmlformats.org/officeDocument/2006/relationships/image" Target="media/image16.jpeg"/><Relationship Id="rId50"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hyperlink" Target="https://en.wikipedia.org/wiki/Pressure_vessel" TargetMode="External"/><Relationship Id="rId17" Type="http://schemas.openxmlformats.org/officeDocument/2006/relationships/hyperlink" Target="https://en.wikipedia.org/wiki/Wellhead" TargetMode="External"/><Relationship Id="rId25" Type="http://schemas.openxmlformats.org/officeDocument/2006/relationships/hyperlink" Target="https://en.wikipedia.org/wiki/Sensor"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en.wikipedia.org/wiki/Furnace" TargetMode="External"/><Relationship Id="rId20" Type="http://schemas.openxmlformats.org/officeDocument/2006/relationships/hyperlink" Target="https://en.wikipedia.org/wiki/Pigging" TargetMode="External"/><Relationship Id="rId29" Type="http://schemas.openxmlformats.org/officeDocument/2006/relationships/hyperlink" Target="https://blog.projectmaterials.com/instrumentation/pid-symbols/" TargetMode="External"/><Relationship Id="rId41" Type="http://schemas.openxmlformats.org/officeDocument/2006/relationships/image" Target="media/image10.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rocess_control" TargetMode="External"/><Relationship Id="rId24" Type="http://schemas.openxmlformats.org/officeDocument/2006/relationships/hyperlink" Target="https://en.wikipedia.org/wiki/Safety_valve" TargetMode="External"/><Relationship Id="rId32" Type="http://schemas.openxmlformats.org/officeDocument/2006/relationships/hyperlink" Target="https://blog.projectmaterials.com/instrumentation/pid-symbols/" TargetMode="External"/><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image" Target="media/image14.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Heat_exchanger" TargetMode="External"/><Relationship Id="rId23" Type="http://schemas.openxmlformats.org/officeDocument/2006/relationships/hyperlink" Target="https://en.wikipedia.org/wiki/Flame_arrester" TargetMode="External"/><Relationship Id="rId28" Type="http://schemas.openxmlformats.org/officeDocument/2006/relationships/hyperlink" Target="https://blog.projectmaterials.com/instrumentation/pid-symbols/" TargetMode="External"/><Relationship Id="rId36" Type="http://schemas.openxmlformats.org/officeDocument/2006/relationships/image" Target="media/image5.jpeg"/><Relationship Id="rId49" Type="http://schemas.openxmlformats.org/officeDocument/2006/relationships/image" Target="media/image18.jpeg"/><Relationship Id="rId10" Type="http://schemas.openxmlformats.org/officeDocument/2006/relationships/hyperlink" Target="https://en.wikipedia.org/wiki/International_Society_of_Automation" TargetMode="External"/><Relationship Id="rId19" Type="http://schemas.openxmlformats.org/officeDocument/2006/relationships/hyperlink" Target="https://en.wikipedia.org/wiki/Turboexpander" TargetMode="External"/><Relationship Id="rId31" Type="http://schemas.openxmlformats.org/officeDocument/2006/relationships/hyperlink" Target="https://blog.projectmaterials.com/instrumentation/pid-symbols/" TargetMode="External"/><Relationship Id="rId44" Type="http://schemas.openxmlformats.org/officeDocument/2006/relationships/image" Target="media/image13.jpeg"/><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en.wikipedia.org/wiki/Symbolic_language_(engineering)" TargetMode="External"/><Relationship Id="rId14" Type="http://schemas.openxmlformats.org/officeDocument/2006/relationships/hyperlink" Target="https://en.wikipedia.org/wiki/Compressor" TargetMode="External"/><Relationship Id="rId22" Type="http://schemas.openxmlformats.org/officeDocument/2006/relationships/hyperlink" Target="https://en.wikipedia.org/wiki/Steam_trap" TargetMode="External"/><Relationship Id="rId27" Type="http://schemas.openxmlformats.org/officeDocument/2006/relationships/hyperlink" Target="https://en.wikipedia.org/wiki/Hazard_and_operability_study" TargetMode="External"/><Relationship Id="rId30" Type="http://schemas.openxmlformats.org/officeDocument/2006/relationships/hyperlink" Target="https://blog.projectmaterials.com/instrumentation/pid-symbols/" TargetMode="External"/><Relationship Id="rId35" Type="http://schemas.openxmlformats.org/officeDocument/2006/relationships/image" Target="media/image4.jpeg"/><Relationship Id="rId43" Type="http://schemas.openxmlformats.org/officeDocument/2006/relationships/image" Target="media/image12.jpeg"/><Relationship Id="rId48" Type="http://schemas.openxmlformats.org/officeDocument/2006/relationships/image" Target="media/image17.jpeg"/><Relationship Id="rId8" Type="http://schemas.openxmlformats.org/officeDocument/2006/relationships/image" Target="media/image1.png"/><Relationship Id="rId5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2020-05-30T10:11:00Z</dcterms:created>
  <dcterms:modified xsi:type="dcterms:W3CDTF">2020-05-30T10:44:00Z</dcterms:modified>
</cp:coreProperties>
</file>