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90BB" w14:textId="76793CF4" w:rsidR="0010612C" w:rsidRPr="00544A32" w:rsidRDefault="00544A32" w:rsidP="00544A32">
      <w:pPr>
        <w:jc w:val="center"/>
        <w:rPr>
          <w:rFonts w:ascii="Bradley Hand ITC" w:hAnsi="Bradley Hand ITC"/>
          <w:b/>
          <w:bCs/>
          <w:sz w:val="40"/>
          <w:szCs w:val="40"/>
          <w:u w:val="single"/>
          <w:lang w:val="en-US"/>
        </w:rPr>
      </w:pPr>
      <w:r w:rsidRPr="00544A32">
        <w:rPr>
          <w:rFonts w:ascii="Bradley Hand ITC" w:hAnsi="Bradley Hand ITC"/>
          <w:b/>
          <w:bCs/>
          <w:sz w:val="40"/>
          <w:szCs w:val="40"/>
          <w:u w:val="single"/>
          <w:lang w:val="en-US"/>
        </w:rPr>
        <w:t>EBARETONBOFA TIEDOR RYAN</w:t>
      </w:r>
    </w:p>
    <w:p w14:paraId="24245581" w14:textId="617E6FC1" w:rsidR="00544A32" w:rsidRPr="00544A32" w:rsidRDefault="00544A32" w:rsidP="00544A32">
      <w:pPr>
        <w:jc w:val="center"/>
        <w:rPr>
          <w:rFonts w:ascii="Bradley Hand ITC" w:hAnsi="Bradley Hand ITC"/>
          <w:b/>
          <w:bCs/>
          <w:sz w:val="40"/>
          <w:szCs w:val="40"/>
          <w:u w:val="single"/>
          <w:lang w:val="en-US"/>
        </w:rPr>
      </w:pPr>
    </w:p>
    <w:p w14:paraId="4A921C53" w14:textId="6255747E" w:rsidR="00544A32" w:rsidRPr="00544A32" w:rsidRDefault="00544A32" w:rsidP="00544A32">
      <w:pPr>
        <w:jc w:val="center"/>
        <w:rPr>
          <w:rFonts w:ascii="Bradley Hand ITC" w:hAnsi="Bradley Hand ITC"/>
          <w:b/>
          <w:bCs/>
          <w:sz w:val="40"/>
          <w:szCs w:val="40"/>
          <w:u w:val="single"/>
          <w:lang w:val="en-US"/>
        </w:rPr>
      </w:pPr>
    </w:p>
    <w:p w14:paraId="0362E589" w14:textId="77777777" w:rsidR="00544A32" w:rsidRPr="00544A32" w:rsidRDefault="00544A32" w:rsidP="00544A32">
      <w:pPr>
        <w:jc w:val="center"/>
        <w:rPr>
          <w:rFonts w:ascii="Bradley Hand ITC" w:hAnsi="Bradley Hand ITC"/>
          <w:b/>
          <w:bCs/>
          <w:sz w:val="40"/>
          <w:szCs w:val="40"/>
          <w:u w:val="single"/>
          <w:lang w:val="en-US"/>
        </w:rPr>
      </w:pPr>
    </w:p>
    <w:p w14:paraId="0418E116" w14:textId="15D7204D" w:rsidR="00544A32" w:rsidRPr="00544A32" w:rsidRDefault="00544A32" w:rsidP="00544A32">
      <w:pPr>
        <w:jc w:val="center"/>
        <w:rPr>
          <w:rFonts w:ascii="Bradley Hand ITC" w:hAnsi="Bradley Hand ITC"/>
          <w:b/>
          <w:bCs/>
          <w:sz w:val="40"/>
          <w:szCs w:val="40"/>
          <w:u w:val="single"/>
          <w:lang w:val="en-US"/>
        </w:rPr>
      </w:pPr>
      <w:r w:rsidRPr="00544A32">
        <w:rPr>
          <w:rFonts w:ascii="Bradley Hand ITC" w:hAnsi="Bradley Hand ITC"/>
          <w:b/>
          <w:bCs/>
          <w:sz w:val="40"/>
          <w:szCs w:val="40"/>
          <w:u w:val="single"/>
          <w:lang w:val="en-US"/>
        </w:rPr>
        <w:t>17/ENG06/023</w:t>
      </w:r>
    </w:p>
    <w:p w14:paraId="78FEF3D9" w14:textId="0ED85091" w:rsidR="00544A32" w:rsidRPr="00544A32" w:rsidRDefault="00544A32" w:rsidP="00544A32">
      <w:pPr>
        <w:jc w:val="center"/>
        <w:rPr>
          <w:rFonts w:ascii="Bradley Hand ITC" w:hAnsi="Bradley Hand ITC"/>
          <w:b/>
          <w:bCs/>
          <w:sz w:val="40"/>
          <w:szCs w:val="40"/>
          <w:u w:val="single"/>
          <w:lang w:val="en-US"/>
        </w:rPr>
      </w:pPr>
    </w:p>
    <w:p w14:paraId="1B978D4B" w14:textId="20142CB9" w:rsidR="00544A32" w:rsidRPr="00544A32" w:rsidRDefault="00544A32" w:rsidP="00544A32">
      <w:pPr>
        <w:jc w:val="center"/>
        <w:rPr>
          <w:rFonts w:ascii="Bradley Hand ITC" w:hAnsi="Bradley Hand ITC"/>
          <w:b/>
          <w:bCs/>
          <w:sz w:val="40"/>
          <w:szCs w:val="40"/>
          <w:u w:val="single"/>
          <w:lang w:val="en-US"/>
        </w:rPr>
      </w:pPr>
    </w:p>
    <w:p w14:paraId="41046AB5" w14:textId="77777777" w:rsidR="00544A32" w:rsidRPr="00544A32" w:rsidRDefault="00544A32" w:rsidP="00544A32">
      <w:pPr>
        <w:jc w:val="center"/>
        <w:rPr>
          <w:rFonts w:ascii="Bradley Hand ITC" w:hAnsi="Bradley Hand ITC"/>
          <w:b/>
          <w:bCs/>
          <w:sz w:val="40"/>
          <w:szCs w:val="40"/>
          <w:u w:val="single"/>
          <w:lang w:val="en-US"/>
        </w:rPr>
      </w:pPr>
    </w:p>
    <w:p w14:paraId="4379008D" w14:textId="68790D0E" w:rsidR="00544A32" w:rsidRPr="00544A32" w:rsidRDefault="00544A32" w:rsidP="00544A32">
      <w:pPr>
        <w:jc w:val="center"/>
        <w:rPr>
          <w:rFonts w:ascii="Bradley Hand ITC" w:hAnsi="Bradley Hand ITC"/>
          <w:b/>
          <w:bCs/>
          <w:sz w:val="40"/>
          <w:szCs w:val="40"/>
          <w:u w:val="single"/>
          <w:lang w:val="en-US"/>
        </w:rPr>
      </w:pPr>
      <w:r w:rsidRPr="00544A32">
        <w:rPr>
          <w:rFonts w:ascii="Bradley Hand ITC" w:hAnsi="Bradley Hand ITC"/>
          <w:b/>
          <w:bCs/>
          <w:sz w:val="40"/>
          <w:szCs w:val="40"/>
          <w:u w:val="single"/>
          <w:lang w:val="en-US"/>
        </w:rPr>
        <w:t>ENG 384: ENGINEERING LAW.</w:t>
      </w:r>
    </w:p>
    <w:p w14:paraId="06F6C6E7" w14:textId="54B64A2B" w:rsidR="00544A32" w:rsidRPr="00544A32" w:rsidRDefault="00544A32" w:rsidP="00544A32">
      <w:pPr>
        <w:jc w:val="center"/>
        <w:rPr>
          <w:rFonts w:ascii="Bradley Hand ITC" w:hAnsi="Bradley Hand ITC"/>
          <w:b/>
          <w:bCs/>
          <w:sz w:val="40"/>
          <w:szCs w:val="40"/>
          <w:u w:val="single"/>
          <w:lang w:val="en-US"/>
        </w:rPr>
      </w:pPr>
    </w:p>
    <w:p w14:paraId="704839E5" w14:textId="1DE20413" w:rsidR="00544A32" w:rsidRPr="00544A32" w:rsidRDefault="00544A32" w:rsidP="00544A32">
      <w:pPr>
        <w:jc w:val="center"/>
        <w:rPr>
          <w:rFonts w:ascii="Bradley Hand ITC" w:hAnsi="Bradley Hand ITC"/>
          <w:b/>
          <w:bCs/>
          <w:sz w:val="40"/>
          <w:szCs w:val="40"/>
          <w:u w:val="single"/>
          <w:lang w:val="en-US"/>
        </w:rPr>
      </w:pPr>
    </w:p>
    <w:p w14:paraId="02C30660" w14:textId="77777777" w:rsidR="00544A32" w:rsidRPr="00544A32" w:rsidRDefault="00544A32" w:rsidP="00544A32">
      <w:pPr>
        <w:jc w:val="center"/>
        <w:rPr>
          <w:rFonts w:ascii="Bradley Hand ITC" w:hAnsi="Bradley Hand ITC"/>
          <w:b/>
          <w:bCs/>
          <w:sz w:val="40"/>
          <w:szCs w:val="40"/>
          <w:u w:val="single"/>
          <w:lang w:val="en-US"/>
        </w:rPr>
      </w:pPr>
    </w:p>
    <w:p w14:paraId="64476B98" w14:textId="21FD8108" w:rsidR="00544A32" w:rsidRDefault="00544A32" w:rsidP="00544A32">
      <w:pPr>
        <w:jc w:val="center"/>
        <w:rPr>
          <w:rFonts w:ascii="Bradley Hand ITC" w:hAnsi="Bradley Hand ITC"/>
          <w:b/>
          <w:bCs/>
          <w:sz w:val="36"/>
          <w:szCs w:val="36"/>
          <w:lang w:val="en-US"/>
        </w:rPr>
      </w:pPr>
      <w:r w:rsidRPr="00544A32">
        <w:rPr>
          <w:rFonts w:ascii="Bradley Hand ITC" w:hAnsi="Bradley Hand ITC"/>
          <w:b/>
          <w:bCs/>
          <w:sz w:val="40"/>
          <w:szCs w:val="40"/>
          <w:u w:val="single"/>
          <w:lang w:val="en-US"/>
        </w:rPr>
        <w:t>JUNE CLASS TEST QUESTION 1</w:t>
      </w:r>
    </w:p>
    <w:p w14:paraId="154BD777" w14:textId="1995B59E" w:rsidR="00544A32" w:rsidRDefault="00544A32" w:rsidP="00544A32">
      <w:pPr>
        <w:jc w:val="center"/>
        <w:rPr>
          <w:rFonts w:ascii="Bradley Hand ITC" w:hAnsi="Bradley Hand ITC"/>
          <w:b/>
          <w:bCs/>
          <w:sz w:val="36"/>
          <w:szCs w:val="36"/>
          <w:lang w:val="en-US"/>
        </w:rPr>
      </w:pPr>
    </w:p>
    <w:p w14:paraId="1F652985" w14:textId="06F692DC" w:rsidR="00544A32" w:rsidRDefault="00544A32" w:rsidP="00544A32">
      <w:pPr>
        <w:jc w:val="center"/>
        <w:rPr>
          <w:rFonts w:ascii="Bradley Hand ITC" w:hAnsi="Bradley Hand ITC"/>
          <w:b/>
          <w:bCs/>
          <w:sz w:val="36"/>
          <w:szCs w:val="36"/>
          <w:lang w:val="en-US"/>
        </w:rPr>
      </w:pPr>
    </w:p>
    <w:p w14:paraId="3C6CB699" w14:textId="31A5D9A9" w:rsidR="00544A32" w:rsidRDefault="00544A32" w:rsidP="00544A32">
      <w:pPr>
        <w:jc w:val="center"/>
        <w:rPr>
          <w:rFonts w:ascii="Bradley Hand ITC" w:hAnsi="Bradley Hand ITC"/>
          <w:b/>
          <w:bCs/>
          <w:sz w:val="36"/>
          <w:szCs w:val="36"/>
          <w:lang w:val="en-US"/>
        </w:rPr>
      </w:pPr>
    </w:p>
    <w:p w14:paraId="429BE636" w14:textId="71DB79D5" w:rsidR="00544A32" w:rsidRDefault="00544A32" w:rsidP="00544A32">
      <w:pPr>
        <w:jc w:val="center"/>
        <w:rPr>
          <w:rFonts w:ascii="Bradley Hand ITC" w:hAnsi="Bradley Hand ITC"/>
          <w:b/>
          <w:bCs/>
          <w:sz w:val="36"/>
          <w:szCs w:val="36"/>
          <w:lang w:val="en-US"/>
        </w:rPr>
      </w:pPr>
    </w:p>
    <w:p w14:paraId="0BDDE6E1" w14:textId="5AEEFB03" w:rsidR="00544A32" w:rsidRDefault="00544A32" w:rsidP="00544A32">
      <w:pPr>
        <w:jc w:val="center"/>
        <w:rPr>
          <w:rFonts w:ascii="Bradley Hand ITC" w:hAnsi="Bradley Hand ITC"/>
          <w:b/>
          <w:bCs/>
          <w:sz w:val="36"/>
          <w:szCs w:val="36"/>
          <w:lang w:val="en-US"/>
        </w:rPr>
      </w:pPr>
    </w:p>
    <w:p w14:paraId="1D20818D" w14:textId="0316C170" w:rsidR="00544A32" w:rsidRDefault="00544A32" w:rsidP="00544A32">
      <w:pPr>
        <w:jc w:val="center"/>
        <w:rPr>
          <w:rFonts w:ascii="Bradley Hand ITC" w:hAnsi="Bradley Hand ITC"/>
          <w:b/>
          <w:bCs/>
          <w:sz w:val="36"/>
          <w:szCs w:val="36"/>
          <w:lang w:val="en-US"/>
        </w:rPr>
      </w:pPr>
    </w:p>
    <w:p w14:paraId="1B07968B" w14:textId="0D271676" w:rsidR="00544A32" w:rsidRDefault="00544A32" w:rsidP="00544A32">
      <w:pPr>
        <w:jc w:val="center"/>
        <w:rPr>
          <w:rFonts w:ascii="Bradley Hand ITC" w:hAnsi="Bradley Hand ITC"/>
          <w:b/>
          <w:bCs/>
          <w:sz w:val="36"/>
          <w:szCs w:val="36"/>
          <w:lang w:val="en-US"/>
        </w:rPr>
      </w:pPr>
    </w:p>
    <w:p w14:paraId="2F956DAE" w14:textId="6E79DA67" w:rsidR="00544A32" w:rsidRDefault="00544A32" w:rsidP="00544A32">
      <w:pPr>
        <w:jc w:val="center"/>
        <w:rPr>
          <w:rFonts w:ascii="Bradley Hand ITC" w:hAnsi="Bradley Hand ITC"/>
          <w:b/>
          <w:bCs/>
          <w:sz w:val="36"/>
          <w:szCs w:val="36"/>
          <w:u w:val="single"/>
          <w:lang w:val="en-US"/>
        </w:rPr>
      </w:pPr>
      <w:r w:rsidRPr="00544A32">
        <w:rPr>
          <w:rFonts w:ascii="Bradley Hand ITC" w:hAnsi="Bradley Hand ITC"/>
          <w:b/>
          <w:bCs/>
          <w:sz w:val="36"/>
          <w:szCs w:val="36"/>
          <w:u w:val="single"/>
          <w:lang w:val="en-US"/>
        </w:rPr>
        <w:lastRenderedPageBreak/>
        <w:t>RELEVANCE OF LAW, MANAGEMENT AND ECONOMICS IN THE ENGINEERING PROFESSION.</w:t>
      </w:r>
    </w:p>
    <w:p w14:paraId="53BCA2E5" w14:textId="06C2003D" w:rsidR="00544A32" w:rsidRDefault="00544A32" w:rsidP="00544A32">
      <w:pPr>
        <w:jc w:val="center"/>
        <w:rPr>
          <w:rFonts w:ascii="Bradley Hand ITC" w:hAnsi="Bradley Hand ITC"/>
          <w:b/>
          <w:bCs/>
          <w:sz w:val="36"/>
          <w:szCs w:val="36"/>
          <w:u w:val="single"/>
          <w:lang w:val="en-US"/>
        </w:rPr>
      </w:pPr>
    </w:p>
    <w:p w14:paraId="5B8FDDDB" w14:textId="44F17C92" w:rsidR="00544A32" w:rsidRPr="00C653AA" w:rsidRDefault="00544A32" w:rsidP="00C653AA">
      <w:pPr>
        <w:pStyle w:val="ListParagraph"/>
        <w:numPr>
          <w:ilvl w:val="0"/>
          <w:numId w:val="1"/>
        </w:numPr>
        <w:spacing w:line="360" w:lineRule="auto"/>
        <w:rPr>
          <w:rFonts w:ascii="Bradley Hand ITC" w:hAnsi="Bradley Hand ITC"/>
          <w:b/>
          <w:bCs/>
          <w:sz w:val="28"/>
          <w:szCs w:val="28"/>
          <w:lang w:val="en-US"/>
        </w:rPr>
      </w:pPr>
      <w:r w:rsidRPr="00C653AA">
        <w:rPr>
          <w:rFonts w:ascii="Bradley Hand ITC" w:hAnsi="Bradley Hand ITC"/>
          <w:b/>
          <w:bCs/>
          <w:sz w:val="28"/>
          <w:szCs w:val="28"/>
          <w:lang w:val="en-US"/>
        </w:rPr>
        <w:t xml:space="preserve">Engineering, as a profession, needs to be backed up with necessary knowledge of Economics as it deals with use of </w:t>
      </w:r>
      <w:proofErr w:type="gramStart"/>
      <w:r w:rsidRPr="00C653AA">
        <w:rPr>
          <w:rFonts w:ascii="Bradley Hand ITC" w:hAnsi="Bradley Hand ITC"/>
          <w:b/>
          <w:bCs/>
          <w:sz w:val="28"/>
          <w:szCs w:val="28"/>
          <w:lang w:val="en-US"/>
        </w:rPr>
        <w:t>resources(</w:t>
      </w:r>
      <w:proofErr w:type="gramEnd"/>
      <w:r w:rsidRPr="00C653AA">
        <w:rPr>
          <w:rFonts w:ascii="Bradley Hand ITC" w:hAnsi="Bradley Hand ITC"/>
          <w:b/>
          <w:bCs/>
          <w:sz w:val="28"/>
          <w:szCs w:val="28"/>
          <w:lang w:val="en-US"/>
        </w:rPr>
        <w:t>both human and objects) and taking risks.</w:t>
      </w:r>
    </w:p>
    <w:p w14:paraId="7825E76E" w14:textId="77777777" w:rsidR="002A1D06" w:rsidRPr="00C653AA" w:rsidRDefault="00544A32" w:rsidP="00C653AA">
      <w:pPr>
        <w:pStyle w:val="ListParagraph"/>
        <w:numPr>
          <w:ilvl w:val="0"/>
          <w:numId w:val="1"/>
        </w:numPr>
        <w:spacing w:line="360" w:lineRule="auto"/>
        <w:rPr>
          <w:rFonts w:ascii="Bradley Hand ITC" w:hAnsi="Bradley Hand ITC"/>
          <w:b/>
          <w:bCs/>
          <w:sz w:val="28"/>
          <w:szCs w:val="28"/>
          <w:lang w:val="en-US"/>
        </w:rPr>
      </w:pPr>
      <w:r w:rsidRPr="00C653AA">
        <w:rPr>
          <w:rFonts w:ascii="Bradley Hand ITC" w:hAnsi="Bradley Hand ITC"/>
          <w:b/>
          <w:bCs/>
          <w:sz w:val="28"/>
          <w:szCs w:val="28"/>
          <w:lang w:val="en-US"/>
        </w:rPr>
        <w:t>Engineering Economics requires application of principles of design and analysis</w:t>
      </w:r>
      <w:r w:rsidR="002A1D06" w:rsidRPr="00C653AA">
        <w:rPr>
          <w:rFonts w:ascii="Bradley Hand ITC" w:hAnsi="Bradley Hand ITC"/>
          <w:b/>
          <w:bCs/>
          <w:sz w:val="28"/>
          <w:szCs w:val="28"/>
          <w:lang w:val="en-US"/>
        </w:rPr>
        <w:t xml:space="preserve"> to provide goods and services satisfactorily and affordably to the masses as a whole.</w:t>
      </w:r>
    </w:p>
    <w:p w14:paraId="363BF7F8" w14:textId="77777777" w:rsidR="00C653AA" w:rsidRPr="00C653AA" w:rsidRDefault="002A1D06" w:rsidP="00C653AA">
      <w:pPr>
        <w:pStyle w:val="ListParagraph"/>
        <w:numPr>
          <w:ilvl w:val="0"/>
          <w:numId w:val="1"/>
        </w:numPr>
        <w:spacing w:line="360" w:lineRule="auto"/>
        <w:rPr>
          <w:rFonts w:ascii="Bradley Hand ITC" w:hAnsi="Bradley Hand ITC"/>
          <w:b/>
          <w:bCs/>
          <w:sz w:val="28"/>
          <w:szCs w:val="28"/>
          <w:lang w:val="en-US"/>
        </w:rPr>
      </w:pPr>
      <w:r w:rsidRPr="00C653AA">
        <w:rPr>
          <w:rFonts w:ascii="Bradley Hand ITC" w:hAnsi="Bradley Hand ITC"/>
          <w:b/>
          <w:bCs/>
          <w:sz w:val="28"/>
          <w:szCs w:val="28"/>
          <w:lang w:val="en-US"/>
        </w:rPr>
        <w:t>Economics in Engineering is also relevant to the Design Engineer because such individual is tasked with the responsibility of material selection.</w:t>
      </w:r>
    </w:p>
    <w:p w14:paraId="61F1C63D" w14:textId="77777777" w:rsidR="00C653AA" w:rsidRPr="00C653AA" w:rsidRDefault="00544A32" w:rsidP="00C653AA">
      <w:pPr>
        <w:pStyle w:val="ListParagraph"/>
        <w:numPr>
          <w:ilvl w:val="0"/>
          <w:numId w:val="1"/>
        </w:numPr>
        <w:spacing w:line="360" w:lineRule="auto"/>
        <w:rPr>
          <w:rFonts w:ascii="Bradley Hand ITC" w:hAnsi="Bradley Hand ITC"/>
          <w:b/>
          <w:bCs/>
          <w:sz w:val="28"/>
          <w:szCs w:val="28"/>
          <w:lang w:val="en-US"/>
        </w:rPr>
      </w:pPr>
      <w:r w:rsidRPr="00C653AA">
        <w:rPr>
          <w:rFonts w:ascii="Bradley Hand ITC" w:hAnsi="Bradley Hand ITC"/>
          <w:b/>
          <w:bCs/>
          <w:sz w:val="28"/>
          <w:szCs w:val="28"/>
          <w:lang w:val="en-US"/>
        </w:rPr>
        <w:t xml:space="preserve"> </w:t>
      </w:r>
      <w:r w:rsidR="002A1D06" w:rsidRPr="00C653AA">
        <w:rPr>
          <w:rFonts w:ascii="Bradley Hand ITC" w:hAnsi="Bradley Hand ITC"/>
          <w:b/>
          <w:bCs/>
          <w:sz w:val="28"/>
          <w:szCs w:val="28"/>
        </w:rPr>
        <w:t xml:space="preserve">Engineers </w:t>
      </w:r>
      <w:r w:rsidR="002A1D06" w:rsidRPr="00C653AA">
        <w:rPr>
          <w:rFonts w:ascii="Bradley Hand ITC" w:hAnsi="Bradley Hand ITC"/>
          <w:b/>
          <w:bCs/>
          <w:sz w:val="28"/>
          <w:szCs w:val="28"/>
          <w:lang w:val="en-US"/>
        </w:rPr>
        <w:t xml:space="preserve">should see the need to </w:t>
      </w:r>
      <w:r w:rsidR="002A1D06" w:rsidRPr="00C653AA">
        <w:rPr>
          <w:rFonts w:ascii="Bradley Hand ITC" w:hAnsi="Bradley Hand ITC"/>
          <w:b/>
          <w:bCs/>
          <w:sz w:val="28"/>
          <w:szCs w:val="28"/>
        </w:rPr>
        <w:t>have a working knowledge of the laws that affect their work and that will enable them to: follow regulations</w:t>
      </w:r>
      <w:r w:rsidR="002A1D06" w:rsidRPr="00C653AA">
        <w:rPr>
          <w:rFonts w:ascii="Bradley Hand ITC" w:hAnsi="Bradley Hand ITC"/>
          <w:b/>
          <w:bCs/>
          <w:sz w:val="28"/>
          <w:szCs w:val="28"/>
          <w:lang w:val="en-US"/>
        </w:rPr>
        <w:t xml:space="preserve">, </w:t>
      </w:r>
      <w:r w:rsidR="002A1D06" w:rsidRPr="00C653AA">
        <w:rPr>
          <w:rFonts w:ascii="Bradley Hand ITC" w:hAnsi="Bradley Hand ITC"/>
          <w:b/>
          <w:bCs/>
          <w:sz w:val="28"/>
          <w:szCs w:val="28"/>
        </w:rPr>
        <w:t>negotiate contracts</w:t>
      </w:r>
      <w:r w:rsidR="002A1D06" w:rsidRPr="00C653AA">
        <w:rPr>
          <w:rFonts w:ascii="Bradley Hand ITC" w:hAnsi="Bradley Hand ITC"/>
          <w:b/>
          <w:bCs/>
          <w:sz w:val="28"/>
          <w:szCs w:val="28"/>
          <w:lang w:val="en-US"/>
        </w:rPr>
        <w:t>,</w:t>
      </w:r>
      <w:r w:rsidR="002A1D06" w:rsidRPr="00C653AA">
        <w:rPr>
          <w:rFonts w:ascii="Bradley Hand ITC" w:hAnsi="Bradley Hand ITC"/>
          <w:b/>
          <w:bCs/>
          <w:sz w:val="28"/>
          <w:szCs w:val="28"/>
        </w:rPr>
        <w:t xml:space="preserve"> comply with local, state &amp; federal regulations</w:t>
      </w:r>
      <w:r w:rsidR="002A1D06" w:rsidRPr="00C653AA">
        <w:rPr>
          <w:rFonts w:ascii="Bradley Hand ITC" w:hAnsi="Bradley Hand ITC"/>
          <w:b/>
          <w:bCs/>
          <w:sz w:val="28"/>
          <w:szCs w:val="28"/>
          <w:lang w:val="en-US"/>
        </w:rPr>
        <w:t xml:space="preserve"> and </w:t>
      </w:r>
      <w:r w:rsidR="002A1D06" w:rsidRPr="00C653AA">
        <w:rPr>
          <w:rFonts w:ascii="Bradley Hand ITC" w:hAnsi="Bradley Hand ITC"/>
          <w:b/>
          <w:bCs/>
          <w:sz w:val="28"/>
          <w:szCs w:val="28"/>
        </w:rPr>
        <w:t>understand the boundaries of their personal and professional liability</w:t>
      </w:r>
      <w:r w:rsidR="002A1D06" w:rsidRPr="00C653AA">
        <w:rPr>
          <w:rFonts w:ascii="Bradley Hand ITC" w:hAnsi="Bradley Hand ITC"/>
          <w:b/>
          <w:bCs/>
          <w:sz w:val="28"/>
          <w:szCs w:val="28"/>
          <w:lang w:val="en-US"/>
        </w:rPr>
        <w:t>.</w:t>
      </w:r>
    </w:p>
    <w:p w14:paraId="415BD39C" w14:textId="134F0AB9" w:rsidR="002A1D06" w:rsidRPr="00C653AA" w:rsidRDefault="002A1D06" w:rsidP="00C653AA">
      <w:pPr>
        <w:pStyle w:val="ListParagraph"/>
        <w:numPr>
          <w:ilvl w:val="0"/>
          <w:numId w:val="1"/>
        </w:numPr>
        <w:spacing w:line="360" w:lineRule="auto"/>
        <w:rPr>
          <w:rFonts w:ascii="Bradley Hand ITC" w:hAnsi="Bradley Hand ITC"/>
          <w:b/>
          <w:bCs/>
          <w:sz w:val="28"/>
          <w:szCs w:val="28"/>
          <w:lang w:val="en-US"/>
        </w:rPr>
      </w:pPr>
      <w:r w:rsidRPr="00C653AA">
        <w:rPr>
          <w:rFonts w:ascii="Bradley Hand ITC" w:hAnsi="Bradley Hand ITC"/>
          <w:b/>
          <w:bCs/>
          <w:sz w:val="28"/>
          <w:szCs w:val="28"/>
          <w:lang w:val="en-US"/>
        </w:rPr>
        <w:t>Management is should also be seen relevant as it trains and equips future engineering managers with the necessary skills that enable the individual to utilize technical, financial, and human resources.</w:t>
      </w:r>
    </w:p>
    <w:p w14:paraId="5A5B18A6" w14:textId="27BFCB73" w:rsidR="00C653AA" w:rsidRPr="00C653AA" w:rsidRDefault="00C653AA" w:rsidP="00C653AA">
      <w:pPr>
        <w:pStyle w:val="ListParagraph"/>
        <w:numPr>
          <w:ilvl w:val="0"/>
          <w:numId w:val="1"/>
        </w:numPr>
        <w:spacing w:line="360" w:lineRule="auto"/>
        <w:rPr>
          <w:rFonts w:ascii="Bradley Hand ITC" w:hAnsi="Bradley Hand ITC"/>
          <w:b/>
          <w:bCs/>
          <w:sz w:val="28"/>
          <w:szCs w:val="28"/>
          <w:lang w:val="en-US"/>
        </w:rPr>
      </w:pPr>
      <w:r w:rsidRPr="00C653AA">
        <w:rPr>
          <w:rFonts w:ascii="Bradley Hand ITC" w:hAnsi="Bradley Hand ITC"/>
          <w:b/>
          <w:bCs/>
          <w:sz w:val="28"/>
          <w:szCs w:val="28"/>
          <w:lang w:val="en-US"/>
        </w:rPr>
        <w:t xml:space="preserve">Engineering management is also be a top learning priority </w:t>
      </w:r>
      <w:r w:rsidRPr="00C653AA">
        <w:rPr>
          <w:rFonts w:ascii="Bradley Hand ITC" w:hAnsi="Bradley Hand ITC"/>
          <w:b/>
          <w:bCs/>
          <w:sz w:val="28"/>
          <w:szCs w:val="28"/>
        </w:rPr>
        <w:t>because</w:t>
      </w:r>
      <w:r w:rsidRPr="00C653AA">
        <w:rPr>
          <w:rFonts w:ascii="Bradley Hand ITC" w:hAnsi="Bradley Hand ITC"/>
          <w:b/>
          <w:bCs/>
          <w:sz w:val="28"/>
          <w:szCs w:val="28"/>
        </w:rPr>
        <w:t xml:space="preserve"> engineering projects are </w:t>
      </w:r>
      <w:r w:rsidRPr="00C653AA">
        <w:rPr>
          <w:rFonts w:ascii="Bradley Hand ITC" w:hAnsi="Bradley Hand ITC"/>
          <w:b/>
          <w:bCs/>
          <w:sz w:val="28"/>
          <w:szCs w:val="28"/>
          <w:lang w:val="en-US"/>
        </w:rPr>
        <w:t>complex and</w:t>
      </w:r>
      <w:r w:rsidRPr="00C653AA">
        <w:rPr>
          <w:rFonts w:ascii="Bradley Hand ITC" w:hAnsi="Bradley Hand ITC"/>
          <w:b/>
          <w:bCs/>
          <w:sz w:val="28"/>
          <w:szCs w:val="28"/>
        </w:rPr>
        <w:t xml:space="preserve"> complicated</w:t>
      </w:r>
      <w:r w:rsidRPr="00C653AA">
        <w:rPr>
          <w:rFonts w:ascii="Bradley Hand ITC" w:hAnsi="Bradley Hand ITC"/>
          <w:b/>
          <w:bCs/>
          <w:sz w:val="28"/>
          <w:szCs w:val="28"/>
          <w:lang w:val="en-US"/>
        </w:rPr>
        <w:t xml:space="preserve"> so </w:t>
      </w:r>
      <w:r w:rsidRPr="00C653AA">
        <w:rPr>
          <w:rFonts w:ascii="Bradley Hand ITC" w:hAnsi="Bradley Hand ITC"/>
          <w:b/>
          <w:bCs/>
          <w:sz w:val="28"/>
          <w:szCs w:val="28"/>
        </w:rPr>
        <w:t>they require a number of specialized staff members</w:t>
      </w:r>
      <w:r w:rsidRPr="00C653AA">
        <w:rPr>
          <w:rFonts w:ascii="Bradley Hand ITC" w:hAnsi="Bradley Hand ITC"/>
          <w:b/>
          <w:bCs/>
          <w:sz w:val="28"/>
          <w:szCs w:val="28"/>
          <w:lang w:val="en-US"/>
        </w:rPr>
        <w:t>.</w:t>
      </w:r>
    </w:p>
    <w:sectPr w:rsidR="00C653AA" w:rsidRPr="00C65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426E"/>
    <w:multiLevelType w:val="hybridMultilevel"/>
    <w:tmpl w:val="B17EC0C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32"/>
    <w:rsid w:val="002A1D06"/>
    <w:rsid w:val="00466CD1"/>
    <w:rsid w:val="00544A32"/>
    <w:rsid w:val="005641CD"/>
    <w:rsid w:val="00C6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8D63"/>
  <w15:chartTrackingRefBased/>
  <w15:docId w15:val="{B5ACE69E-7B57-4217-B566-0A3FB078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Tiedor Ebareton</dc:creator>
  <cp:keywords/>
  <dc:description/>
  <cp:lastModifiedBy>Tiedor Ebareton</cp:lastModifiedBy>
  <cp:revision>1</cp:revision>
  <dcterms:created xsi:type="dcterms:W3CDTF">2020-06-01T08:06:00Z</dcterms:created>
  <dcterms:modified xsi:type="dcterms:W3CDTF">2020-06-01T08:33:00Z</dcterms:modified>
</cp:coreProperties>
</file>