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15" w:lineRule="atLeast"/>
        <w:ind w:left="0" w:right="0" w:firstLine="0"/>
        <w:jc w:val="left"/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</w:pP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BILL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 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OF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 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ENGINEERING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 </w:t>
      </w:r>
      <w:r>
        <w:rPr>
          <w:rFonts w:hint="default" w:ascii="ff8" w:hAnsi="ff8" w:eastAsia="ff8" w:cs="ff8"/>
          <w:b/>
          <w:i w:val="0"/>
          <w:caps w:val="0"/>
          <w:color w:val="000000"/>
          <w:spacing w:val="0"/>
          <w:kern w:val="0"/>
          <w:sz w:val="112"/>
          <w:szCs w:val="112"/>
          <w:u w:val="none"/>
          <w:lang w:val="en-US" w:eastAsia="zh-CN" w:bidi="ar"/>
        </w:rPr>
        <w:t>MEASUREMENT AND EVALUATION FOR A DRAINAGE PIPE.</w:t>
      </w:r>
    </w:p>
    <w:p>
      <w:pPr>
        <w:rPr>
          <w:lang w:val="en-US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15" w:lineRule="atLeast"/>
        <w:ind w:left="0" w:right="0" w:firstLine="0"/>
        <w:jc w:val="left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114"/>
          <w:szCs w:val="114"/>
          <w:u w:val="none"/>
        </w:rPr>
      </w:pPr>
      <w:r>
        <w:rPr>
          <w:lang w:val="en-US"/>
        </w:rPr>
        <w:t xml:space="preserve">  </w:t>
      </w:r>
    </w:p>
    <w:tbl>
      <w:tblPr>
        <w:tblStyle w:val="4"/>
        <w:tblW w:w="741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2035"/>
        <w:gridCol w:w="1163"/>
        <w:gridCol w:w="557"/>
        <w:gridCol w:w="639"/>
        <w:gridCol w:w="2661"/>
      </w:tblGrid>
      <w:tr>
        <w:trPr>
          <w:trHeight w:val="1245" w:hRule="atLeast"/>
        </w:trP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>S/N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>DESCRIPTION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>QUANTITY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>UNIT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 xml:space="preserve">  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21"/>
                <w:szCs w:val="21"/>
                <w:u w:val="none"/>
              </w:rPr>
              <w:t xml:space="preserve">  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rPr>
                <w:lang w:val="en-US"/>
              </w:rPr>
            </w:pPr>
            <w:r>
              <w:rPr>
                <w:lang w:val="en-US"/>
              </w:rPr>
              <w:t xml:space="preserve">AMOUNT IN NAIRA 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/>
                <w:caps w:val="0"/>
                <w:color w:val="111111"/>
                <w:spacing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excavation for drainage 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2</w:t>
            </w: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  <w:lang w:val="en-US"/>
              </w:rPr>
              <w:t>50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  <w:lang w:val="en-US"/>
              </w:rPr>
              <w:t>62500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  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rPr>
                <w:lang w:val="en-US"/>
              </w:rPr>
            </w:pPr>
            <w:r>
              <w:rPr>
                <w:lang w:val="en-US"/>
              </w:rPr>
              <w:t>concrete blinding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  <w:lang w:val="en-US"/>
              </w:rPr>
              <w:t>22500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ditto drainage bed 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31.5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787500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ditto coping 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165600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cement and sand 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  <w:lang w:val="en-US"/>
              </w:rPr>
              <w:t>m2</w:t>
            </w:r>
            <w:r>
              <w:rPr>
                <w:rFonts w:hint="default" w:ascii="Times New Roman" w:hAnsi="Times New Roman" w:eastAsia="-webkit-standard" w:cs="Times New Roman"/>
                <w:b w:val="0"/>
                <w:caps w:val="0"/>
                <w:color w:val="111111"/>
                <w:spacing w:val="0"/>
                <w:sz w:val="18"/>
                <w:szCs w:val="18"/>
                <w:u w:val="none"/>
              </w:rPr>
              <w:t>-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</w:p>
        </w:tc>
      </w:tr>
      <w:tr>
        <w:tc>
          <w:tcPr>
            <w:tcW w:w="358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63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9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661" w:type="dxa"/>
            <w:shd w:val="clear" w:color="auto" w:fill="auto"/>
            <w:vAlign w:val="top"/>
          </w:tcPr>
          <w:p>
            <w:pPr>
              <w:pStyle w:val="2"/>
              <w:widowControl/>
              <w:spacing w:beforeAutospacing="0" w:after="0" w:afterAutospacing="0" w:line="18" w:lineRule="atLeast"/>
              <w:ind w:left="0" w:right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</w:tbl>
    <w:p>
      <w:pPr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1ff11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1ff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2ff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4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8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8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2020-06-01T10:54:27Z</dcterms:created>
  <dc:creator>Ese’s iPhone</dc:creator>
  <cp:lastModifiedBy>Ese’s iPhone</cp:lastModifiedBy>
  <dcterms:modified xsi:type="dcterms:W3CDTF">2020-06-01T10:54:45Z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