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B33D3" w:rsidRDefault="00DB33D3">
      <w:pPr>
        <w:rPr>
          <w:rFonts w:ascii="Arial" w:hAnsi="Arial" w:cs="Arial"/>
          <w:sz w:val="24"/>
          <w:szCs w:val="24"/>
        </w:rPr>
      </w:pPr>
      <w:r w:rsidRPr="00DB33D3">
        <w:rPr>
          <w:rFonts w:ascii="Arial" w:hAnsi="Arial" w:cs="Arial"/>
          <w:sz w:val="24"/>
          <w:szCs w:val="24"/>
        </w:rPr>
        <w:t>NAME: CHINEDUM PRUDENCE ESE</w:t>
      </w:r>
    </w:p>
    <w:p w:rsidR="00DB33D3" w:rsidRPr="00DB33D3" w:rsidRDefault="00DB33D3" w:rsidP="00DB33D3">
      <w:pPr>
        <w:rPr>
          <w:rFonts w:ascii="Arial" w:hAnsi="Arial" w:cs="Arial"/>
          <w:sz w:val="24"/>
          <w:szCs w:val="24"/>
          <w:lang w:eastAsia="zh-CN"/>
        </w:rPr>
      </w:pPr>
      <w:r w:rsidRPr="00DB33D3">
        <w:rPr>
          <w:rFonts w:ascii="Arial" w:hAnsi="Arial" w:cs="Arial"/>
          <w:sz w:val="24"/>
          <w:szCs w:val="24"/>
        </w:rPr>
        <w:t>DEPARTMENT: CHEMICAL ENGINEERING</w:t>
      </w:r>
    </w:p>
    <w:p w:rsidR="00000000" w:rsidRPr="00DB33D3" w:rsidRDefault="00DB33D3" w:rsidP="00DB33D3">
      <w:pPr>
        <w:tabs>
          <w:tab w:val="left" w:pos="4030"/>
        </w:tabs>
        <w:rPr>
          <w:rFonts w:ascii="Arial" w:hAnsi="Arial" w:cs="Arial"/>
          <w:sz w:val="24"/>
          <w:szCs w:val="24"/>
        </w:rPr>
      </w:pPr>
      <w:r w:rsidRPr="00DB33D3">
        <w:rPr>
          <w:rFonts w:ascii="Arial" w:hAnsi="Arial" w:cs="Arial"/>
          <w:sz w:val="24"/>
          <w:szCs w:val="24"/>
        </w:rPr>
        <w:t>MATRIC NO: 17/ENG</w:t>
      </w:r>
      <w:r w:rsidRPr="00DB33D3">
        <w:rPr>
          <w:rFonts w:ascii="Arial" w:hAnsi="Arial" w:cs="Arial"/>
          <w:sz w:val="24"/>
          <w:szCs w:val="24"/>
        </w:rPr>
        <w:t>01/006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000000" w:rsidRPr="00DB33D3" w:rsidRDefault="00DB33D3">
      <w:pPr>
        <w:rPr>
          <w:rFonts w:ascii="Arial" w:hAnsi="Arial" w:cs="Arial"/>
          <w:sz w:val="24"/>
          <w:szCs w:val="24"/>
        </w:rPr>
      </w:pPr>
    </w:p>
    <w:p w:rsidR="00000000" w:rsidRPr="00DB33D3" w:rsidRDefault="00DB33D3">
      <w:pPr>
        <w:rPr>
          <w:rFonts w:ascii="Arial" w:hAnsi="Arial" w:cs="Arial"/>
          <w:sz w:val="24"/>
          <w:szCs w:val="24"/>
        </w:rPr>
      </w:pPr>
      <w:r w:rsidRPr="00DB33D3">
        <w:rPr>
          <w:rFonts w:ascii="Arial" w:hAnsi="Arial" w:cs="Arial"/>
          <w:sz w:val="24"/>
          <w:szCs w:val="24"/>
        </w:rPr>
        <w:t>1. The themes that will be discussed in six sentences are namely:</w:t>
      </w:r>
    </w:p>
    <w:p w:rsidR="00A530BA" w:rsidRPr="00DB33D3" w:rsidRDefault="00DB33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33D3">
        <w:rPr>
          <w:rFonts w:ascii="Arial" w:hAnsi="Arial" w:cs="Arial"/>
          <w:sz w:val="24"/>
          <w:szCs w:val="24"/>
        </w:rPr>
        <w:t>Ethics, professional misconduct, negligent practice and gross negligence</w:t>
      </w:r>
    </w:p>
    <w:p w:rsidR="00A530BA" w:rsidRPr="00DB33D3" w:rsidRDefault="00A530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33D3">
        <w:rPr>
          <w:rFonts w:ascii="Arial" w:hAnsi="Arial" w:cs="Arial"/>
          <w:sz w:val="24"/>
          <w:szCs w:val="24"/>
        </w:rPr>
        <w:t>Tort law</w:t>
      </w:r>
      <w:r w:rsidR="00DB33D3" w:rsidRPr="00DB33D3">
        <w:rPr>
          <w:rFonts w:ascii="Arial" w:hAnsi="Arial" w:cs="Arial"/>
          <w:sz w:val="24"/>
          <w:szCs w:val="24"/>
        </w:rPr>
        <w:t xml:space="preserve"> which</w:t>
      </w:r>
      <w:r w:rsidRPr="00DB33D3">
        <w:rPr>
          <w:rFonts w:ascii="Arial" w:hAnsi="Arial" w:cs="Arial"/>
          <w:sz w:val="24"/>
          <w:szCs w:val="24"/>
        </w:rPr>
        <w:t xml:space="preserve"> is integral to assigning blame and penalties after engineering failures</w:t>
      </w:r>
    </w:p>
    <w:p w:rsidR="00A530BA" w:rsidRPr="00DB33D3" w:rsidRDefault="00A530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33D3">
        <w:rPr>
          <w:rFonts w:ascii="Arial" w:hAnsi="Arial" w:cs="Arial"/>
          <w:sz w:val="24"/>
          <w:szCs w:val="24"/>
        </w:rPr>
        <w:t>Contract law</w:t>
      </w:r>
      <w:r w:rsidR="00DB33D3" w:rsidRPr="00DB33D3">
        <w:rPr>
          <w:rFonts w:ascii="Arial" w:hAnsi="Arial" w:cs="Arial"/>
          <w:sz w:val="24"/>
          <w:szCs w:val="24"/>
        </w:rPr>
        <w:t xml:space="preserve"> which</w:t>
      </w:r>
      <w:r w:rsidRPr="00DB33D3">
        <w:rPr>
          <w:rFonts w:ascii="Arial" w:hAnsi="Arial" w:cs="Arial"/>
          <w:sz w:val="24"/>
          <w:szCs w:val="24"/>
        </w:rPr>
        <w:t xml:space="preserve"> is the promissory basis for the vast majority of engineering projects</w:t>
      </w:r>
    </w:p>
    <w:p w:rsidR="00A530BA" w:rsidRPr="00DB33D3" w:rsidRDefault="00A530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33D3">
        <w:rPr>
          <w:rFonts w:ascii="Arial" w:hAnsi="Arial" w:cs="Arial"/>
          <w:sz w:val="24"/>
          <w:szCs w:val="24"/>
        </w:rPr>
        <w:t>Product liability law</w:t>
      </w:r>
      <w:r w:rsidR="00DB33D3" w:rsidRPr="00DB33D3">
        <w:rPr>
          <w:rFonts w:ascii="Arial" w:hAnsi="Arial" w:cs="Arial"/>
          <w:sz w:val="24"/>
          <w:szCs w:val="24"/>
        </w:rPr>
        <w:t xml:space="preserve"> which is important</w:t>
      </w:r>
      <w:r w:rsidRPr="00DB33D3">
        <w:rPr>
          <w:rFonts w:ascii="Arial" w:hAnsi="Arial" w:cs="Arial"/>
          <w:sz w:val="24"/>
          <w:szCs w:val="24"/>
        </w:rPr>
        <w:t xml:space="preserve"> for manufactured products</w:t>
      </w:r>
    </w:p>
    <w:p w:rsidR="00A530BA" w:rsidRPr="00DB33D3" w:rsidRDefault="00A530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33D3">
        <w:rPr>
          <w:rFonts w:ascii="Arial" w:hAnsi="Arial" w:cs="Arial"/>
          <w:sz w:val="24"/>
          <w:szCs w:val="24"/>
        </w:rPr>
        <w:t>Intellectual property protection, which includes patents, copyrights, trade secrets and integrated circuit topographies.</w:t>
      </w:r>
    </w:p>
    <w:p w:rsidR="00A530BA" w:rsidRPr="00DB33D3" w:rsidRDefault="00A530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33D3">
        <w:rPr>
          <w:rFonts w:ascii="Arial" w:hAnsi="Arial" w:cs="Arial"/>
          <w:sz w:val="24"/>
          <w:szCs w:val="24"/>
        </w:rPr>
        <w:t>Safety legislation codes, and regulations, which includes plant safety, risk management, the electrical code and food safety</w:t>
      </w:r>
    </w:p>
    <w:p w:rsidR="00A530BA" w:rsidRPr="00DB33D3" w:rsidRDefault="00A530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33D3">
        <w:rPr>
          <w:rFonts w:ascii="Arial" w:hAnsi="Arial" w:cs="Arial"/>
          <w:sz w:val="24"/>
          <w:szCs w:val="24"/>
        </w:rPr>
        <w:t>Standards and certification, which can be product or system specific constraints on design and testing processes often imposed for health and safety reasons.</w:t>
      </w:r>
    </w:p>
    <w:sectPr w:rsidR="00A530BA" w:rsidRPr="00DB3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A530BA"/>
    <w:rsid w:val="00DB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</dc:creator>
  <cp:lastModifiedBy>HP</cp:lastModifiedBy>
  <cp:revision>2</cp:revision>
  <dcterms:created xsi:type="dcterms:W3CDTF">2020-06-01T18:52:00Z</dcterms:created>
  <dcterms:modified xsi:type="dcterms:W3CDTF">2020-06-01T18:52:00Z</dcterms:modified>
</cp:coreProperties>
</file>