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E70B" w14:textId="77777777" w:rsidR="00DD2B25" w:rsidRDefault="00DD2B25">
      <w:pPr>
        <w:pStyle w:val="Heading2"/>
        <w:shd w:val="clear" w:color="auto" w:fill="F7F7F7"/>
        <w:spacing w:before="0"/>
        <w:rPr>
          <w:rFonts w:ascii="Verdana" w:eastAsia="Times New Roman" w:hAnsi="Verdana"/>
          <w:color w:val="000000"/>
          <w:sz w:val="33"/>
          <w:szCs w:val="33"/>
        </w:rPr>
      </w:pPr>
    </w:p>
    <w:p w14:paraId="32165B03" w14:textId="77777777" w:rsidR="00DD2B25" w:rsidRDefault="00DD2B25">
      <w:pPr>
        <w:pStyle w:val="Heading2"/>
        <w:shd w:val="clear" w:color="auto" w:fill="F7F7F7"/>
        <w:spacing w:before="0"/>
        <w:rPr>
          <w:rFonts w:ascii="Verdana" w:eastAsia="Times New Roman" w:hAnsi="Verdana"/>
          <w:color w:val="000000"/>
          <w:sz w:val="33"/>
          <w:szCs w:val="33"/>
        </w:rPr>
      </w:pPr>
    </w:p>
    <w:p w14:paraId="3EC5A07E" w14:textId="77777777" w:rsidR="00A92D9D" w:rsidRPr="00B3414C" w:rsidRDefault="00A92D9D" w:rsidP="00462786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r w:rsidRPr="00B3414C"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13E116F8" wp14:editId="3D3ADC9E">
            <wp:extent cx="1289050" cy="1365250"/>
            <wp:effectExtent l="0" t="0" r="6350" b="0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EAAE5A7" w14:textId="77777777" w:rsidR="00A92D9D" w:rsidRPr="00AA7D63" w:rsidRDefault="00A92D9D" w:rsidP="0046278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3D391661" w14:textId="77777777" w:rsidR="00A92D9D" w:rsidRPr="00AA7D63" w:rsidRDefault="00A92D9D" w:rsidP="0046278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 xml:space="preserve">OKON PRECIOUS UTOMOBONG </w:t>
      </w:r>
    </w:p>
    <w:p w14:paraId="521C517E" w14:textId="77777777" w:rsidR="00A92D9D" w:rsidRPr="00AA7D63" w:rsidRDefault="00A92D9D" w:rsidP="0046278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17/</w:t>
      </w:r>
      <w:r>
        <w:rPr>
          <w:rFonts w:ascii="Times New Roman" w:eastAsia="Adobe Fan Heiti Std B" w:hAnsi="Times New Roman" w:cs="Times New Roman"/>
          <w:sz w:val="40"/>
          <w:szCs w:val="40"/>
        </w:rPr>
        <w:t>ENG07/016</w:t>
      </w:r>
    </w:p>
    <w:p w14:paraId="236F28D7" w14:textId="77777777" w:rsidR="00A92D9D" w:rsidRPr="00AA7D63" w:rsidRDefault="00A92D9D" w:rsidP="0046278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7A7E8051" w14:textId="77777777" w:rsidR="00A92D9D" w:rsidRPr="00AA7D63" w:rsidRDefault="00A92D9D" w:rsidP="0046278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620D96D0" w14:textId="77777777" w:rsidR="00A92D9D" w:rsidRPr="00AA7D63" w:rsidRDefault="00A92D9D" w:rsidP="0046278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3E5F9F46" w14:textId="77777777" w:rsidR="00A92D9D" w:rsidRPr="00AA7D63" w:rsidRDefault="00A92D9D" w:rsidP="0046278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14:paraId="756E27FA" w14:textId="77777777" w:rsidR="00A92D9D" w:rsidRPr="00AA7D63" w:rsidRDefault="00A92D9D" w:rsidP="00462786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ENGR. DR.OYEBODE</w:t>
      </w:r>
    </w:p>
    <w:p w14:paraId="1E00A313" w14:textId="77777777" w:rsidR="00A92D9D" w:rsidRPr="00AA7D63" w:rsidRDefault="00A92D9D" w:rsidP="00462786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</w:p>
    <w:p w14:paraId="197CD01E" w14:textId="77777777" w:rsidR="00A92D9D" w:rsidRPr="00AA7D63" w:rsidRDefault="00A92D9D" w:rsidP="00462786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14:paraId="52B6DFA3" w14:textId="63AA9F31" w:rsidR="00DD2B25" w:rsidRPr="00A92D9D" w:rsidRDefault="00A92D9D" w:rsidP="00A92D9D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IN PARTIAL COMPLETION OF THE CONTINUOUS ASSESSMENT (C.A) FOR THE ENGINEERING LAW AND MANAGERIAL ECONOMICS (ENG 384) COURSE.</w:t>
      </w:r>
      <w:r w:rsidRPr="00AA7D6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JUNE 1</w:t>
      </w:r>
      <w:r w:rsidRPr="00AA7D6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2020</w:t>
      </w:r>
    </w:p>
    <w:p w14:paraId="225CB496" w14:textId="4AB938F4" w:rsidR="00DD2B25" w:rsidRPr="00154E3C" w:rsidRDefault="00154E3C">
      <w:pPr>
        <w:pStyle w:val="Heading2"/>
        <w:shd w:val="clear" w:color="auto" w:fill="F7F7F7"/>
        <w:spacing w:before="0"/>
        <w:rPr>
          <w:rFonts w:ascii="Verdana" w:eastAsia="Times New Roman" w:hAnsi="Verdana"/>
          <w:color w:val="000000"/>
          <w:sz w:val="36"/>
          <w:szCs w:val="36"/>
        </w:rPr>
      </w:pPr>
      <w:r w:rsidRPr="00154E3C">
        <w:rPr>
          <w:color w:val="111111"/>
          <w:sz w:val="36"/>
          <w:szCs w:val="36"/>
        </w:rPr>
        <w:lastRenderedPageBreak/>
        <w:t>Bill of Engineering Measurements and Evaluation (BEME) </w:t>
      </w:r>
    </w:p>
    <w:p w14:paraId="695A117C" w14:textId="77777777" w:rsidR="00DD2B25" w:rsidRDefault="00DD2B25">
      <w:pPr>
        <w:pStyle w:val="Heading2"/>
        <w:shd w:val="clear" w:color="auto" w:fill="F7F7F7"/>
        <w:spacing w:before="0"/>
        <w:rPr>
          <w:rFonts w:ascii="Verdana" w:eastAsia="Times New Roman" w:hAnsi="Verdana"/>
          <w:color w:val="000000"/>
          <w:sz w:val="33"/>
          <w:szCs w:val="33"/>
        </w:rPr>
      </w:pPr>
    </w:p>
    <w:p w14:paraId="08F239F2" w14:textId="77777777" w:rsidR="00DD2B25" w:rsidRDefault="00DD2B25">
      <w:pPr>
        <w:pStyle w:val="Heading2"/>
        <w:shd w:val="clear" w:color="auto" w:fill="F7F7F7"/>
        <w:spacing w:before="0"/>
        <w:rPr>
          <w:rFonts w:ascii="Verdana" w:eastAsia="Times New Roman" w:hAnsi="Verdana"/>
          <w:color w:val="000000"/>
          <w:sz w:val="33"/>
          <w:szCs w:val="33"/>
        </w:rPr>
      </w:pPr>
    </w:p>
    <w:p w14:paraId="227442C3" w14:textId="77777777" w:rsidR="00DD2B25" w:rsidRDefault="00DD2B25">
      <w:pPr>
        <w:pStyle w:val="Heading2"/>
        <w:shd w:val="clear" w:color="auto" w:fill="F7F7F7"/>
        <w:spacing w:before="0"/>
        <w:rPr>
          <w:rFonts w:ascii="Verdana" w:eastAsia="Times New Roman" w:hAnsi="Verdana"/>
          <w:color w:val="000000"/>
          <w:sz w:val="33"/>
          <w:szCs w:val="33"/>
        </w:rPr>
      </w:pPr>
    </w:p>
    <w:p w14:paraId="4FF8B231" w14:textId="4FA5B096" w:rsidR="00DD2B25" w:rsidRDefault="00DD2B25">
      <w:pPr>
        <w:pStyle w:val="Heading2"/>
        <w:shd w:val="clear" w:color="auto" w:fill="F7F7F7"/>
        <w:spacing w:before="0"/>
        <w:rPr>
          <w:rFonts w:ascii="Verdana" w:eastAsia="Times New Roman" w:hAnsi="Verdana"/>
          <w:color w:val="000000"/>
          <w:sz w:val="33"/>
          <w:szCs w:val="33"/>
        </w:rPr>
      </w:pPr>
      <w:r>
        <w:rPr>
          <w:rFonts w:ascii="Verdana" w:eastAsia="Times New Roman" w:hAnsi="Verdana"/>
          <w:color w:val="000000"/>
          <w:sz w:val="33"/>
          <w:szCs w:val="33"/>
        </w:rPr>
        <w:t>The Nigerian Petroleum Industry Bill: An Evaluation of the Effect of the Proposed Fiscal Terms on Investment in the Upstream Sector</w:t>
      </w:r>
    </w:p>
    <w:p w14:paraId="665B3D5C" w14:textId="3ECACCAC" w:rsidR="002C229F" w:rsidRDefault="002C229F" w:rsidP="00174E44"/>
    <w:p w14:paraId="051AA8C5" w14:textId="6AC94F93" w:rsidR="00154E3C" w:rsidRDefault="00154E3C" w:rsidP="00174E44"/>
    <w:p w14:paraId="47FEBB94" w14:textId="126EFC4D" w:rsidR="00154E3C" w:rsidRDefault="00154E3C" w:rsidP="00174E44"/>
    <w:p w14:paraId="46D1E027" w14:textId="7C910B43" w:rsidR="00154E3C" w:rsidRDefault="00154E3C" w:rsidP="00174E44"/>
    <w:p w14:paraId="6369F409" w14:textId="72C3F048" w:rsidR="00154E3C" w:rsidRDefault="00154E3C" w:rsidP="00174E44"/>
    <w:p w14:paraId="61E5F363" w14:textId="4DB71945" w:rsidR="00154E3C" w:rsidRDefault="00154E3C" w:rsidP="00174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3117"/>
      </w:tblGrid>
      <w:tr w:rsidR="00154E3C" w14:paraId="34E4B6FB" w14:textId="77777777" w:rsidTr="00154E3C">
        <w:tc>
          <w:tcPr>
            <w:tcW w:w="3116" w:type="dxa"/>
          </w:tcPr>
          <w:p w14:paraId="52C1F2AD" w14:textId="343F8978" w:rsidR="00154E3C" w:rsidRDefault="000A68D7" w:rsidP="00174E44">
            <w:r>
              <w:t xml:space="preserve">DETAILS </w:t>
            </w:r>
          </w:p>
        </w:tc>
        <w:tc>
          <w:tcPr>
            <w:tcW w:w="3117" w:type="dxa"/>
            <w:gridSpan w:val="2"/>
          </w:tcPr>
          <w:p w14:paraId="7587C969" w14:textId="24235069" w:rsidR="00154E3C" w:rsidRDefault="000A68D7" w:rsidP="00174E44">
            <w:r>
              <w:t xml:space="preserve">ASSUMED SCENARIOS AND </w:t>
            </w:r>
            <w:r w:rsidR="003134DB">
              <w:t xml:space="preserve">OUTCOMES </w:t>
            </w:r>
          </w:p>
        </w:tc>
        <w:tc>
          <w:tcPr>
            <w:tcW w:w="3117" w:type="dxa"/>
          </w:tcPr>
          <w:p w14:paraId="7546B6EE" w14:textId="77777777" w:rsidR="00154E3C" w:rsidRDefault="00154E3C" w:rsidP="00174E44"/>
        </w:tc>
      </w:tr>
      <w:tr w:rsidR="00645964" w14:paraId="1D1E4C9C" w14:textId="77777777" w:rsidTr="005032BC">
        <w:tc>
          <w:tcPr>
            <w:tcW w:w="3116" w:type="dxa"/>
          </w:tcPr>
          <w:p w14:paraId="454C9207" w14:textId="1FA4702A" w:rsidR="00645964" w:rsidRDefault="00645964" w:rsidP="00174E44"/>
        </w:tc>
        <w:tc>
          <w:tcPr>
            <w:tcW w:w="1558" w:type="dxa"/>
          </w:tcPr>
          <w:p w14:paraId="1150004A" w14:textId="77777777" w:rsidR="00645964" w:rsidRDefault="00645964" w:rsidP="00174E44">
            <w:r>
              <w:t>Low</w:t>
            </w:r>
          </w:p>
        </w:tc>
        <w:tc>
          <w:tcPr>
            <w:tcW w:w="1559" w:type="dxa"/>
          </w:tcPr>
          <w:p w14:paraId="258ADE07" w14:textId="2589BDFD" w:rsidR="00645964" w:rsidRDefault="00835DE7" w:rsidP="00174E44">
            <w:r>
              <w:t>Medium</w:t>
            </w:r>
          </w:p>
        </w:tc>
        <w:tc>
          <w:tcPr>
            <w:tcW w:w="3117" w:type="dxa"/>
          </w:tcPr>
          <w:p w14:paraId="5B7470F5" w14:textId="7394DE43" w:rsidR="00645964" w:rsidRDefault="00835DE7" w:rsidP="00174E44">
            <w:r>
              <w:t>High</w:t>
            </w:r>
          </w:p>
        </w:tc>
      </w:tr>
      <w:tr w:rsidR="00835DE7" w14:paraId="69C23BF9" w14:textId="77777777" w:rsidTr="003361EC">
        <w:tc>
          <w:tcPr>
            <w:tcW w:w="3116" w:type="dxa"/>
          </w:tcPr>
          <w:p w14:paraId="2E6DBBD6" w14:textId="14073201" w:rsidR="00835DE7" w:rsidRDefault="00835DE7" w:rsidP="00174E44">
            <w:r>
              <w:t xml:space="preserve">Recoverable </w:t>
            </w:r>
            <w:r w:rsidR="004558D5">
              <w:t>reserves (millions barrel)</w:t>
            </w:r>
          </w:p>
        </w:tc>
        <w:tc>
          <w:tcPr>
            <w:tcW w:w="1558" w:type="dxa"/>
          </w:tcPr>
          <w:p w14:paraId="6DEB396E" w14:textId="3238D049" w:rsidR="00835DE7" w:rsidRDefault="004558D5" w:rsidP="00174E44">
            <w:r>
              <w:t>600</w:t>
            </w:r>
          </w:p>
        </w:tc>
        <w:tc>
          <w:tcPr>
            <w:tcW w:w="1559" w:type="dxa"/>
          </w:tcPr>
          <w:p w14:paraId="42CBDF4D" w14:textId="4C2D5507" w:rsidR="00835DE7" w:rsidRDefault="004558D5" w:rsidP="00174E44">
            <w:r>
              <w:t>600</w:t>
            </w:r>
          </w:p>
        </w:tc>
        <w:tc>
          <w:tcPr>
            <w:tcW w:w="3117" w:type="dxa"/>
          </w:tcPr>
          <w:p w14:paraId="22426FA8" w14:textId="1E87AF61" w:rsidR="00835DE7" w:rsidRDefault="004558D5" w:rsidP="00174E44">
            <w:r>
              <w:t>600</w:t>
            </w:r>
          </w:p>
        </w:tc>
      </w:tr>
      <w:tr w:rsidR="00835DE7" w14:paraId="1FD2211F" w14:textId="77777777" w:rsidTr="003361EC">
        <w:tc>
          <w:tcPr>
            <w:tcW w:w="3116" w:type="dxa"/>
          </w:tcPr>
          <w:p w14:paraId="0E353A93" w14:textId="58EEC440" w:rsidR="00835DE7" w:rsidRDefault="004558D5" w:rsidP="00174E44">
            <w:r>
              <w:t>Oil prices (</w:t>
            </w:r>
            <w:r w:rsidR="001F30A8">
              <w:t>us$ &amp;/ barrel)</w:t>
            </w:r>
          </w:p>
        </w:tc>
        <w:tc>
          <w:tcPr>
            <w:tcW w:w="1558" w:type="dxa"/>
          </w:tcPr>
          <w:p w14:paraId="2B14BFFE" w14:textId="1EAA63B3" w:rsidR="00835DE7" w:rsidRDefault="001F30A8" w:rsidP="00174E44">
            <w:r>
              <w:t>60</w:t>
            </w:r>
          </w:p>
        </w:tc>
        <w:tc>
          <w:tcPr>
            <w:tcW w:w="1559" w:type="dxa"/>
          </w:tcPr>
          <w:p w14:paraId="56163BA7" w14:textId="15A86839" w:rsidR="00835DE7" w:rsidRDefault="001F30A8" w:rsidP="00174E44">
            <w:r>
              <w:t>90</w:t>
            </w:r>
          </w:p>
        </w:tc>
        <w:tc>
          <w:tcPr>
            <w:tcW w:w="3117" w:type="dxa"/>
          </w:tcPr>
          <w:p w14:paraId="2DFB6157" w14:textId="08C86C31" w:rsidR="00835DE7" w:rsidRDefault="001F30A8" w:rsidP="00174E44">
            <w:r>
              <w:t>100</w:t>
            </w:r>
          </w:p>
        </w:tc>
      </w:tr>
      <w:tr w:rsidR="001F30A8" w14:paraId="2A842EF9" w14:textId="77777777" w:rsidTr="003361EC">
        <w:tc>
          <w:tcPr>
            <w:tcW w:w="3116" w:type="dxa"/>
          </w:tcPr>
          <w:p w14:paraId="76710530" w14:textId="4C2F260F" w:rsidR="001F30A8" w:rsidRDefault="007806D7" w:rsidP="00174E44">
            <w:r>
              <w:t xml:space="preserve">Pre-tax undiscounted </w:t>
            </w:r>
            <w:r w:rsidR="00B44BBD">
              <w:t>NCF (</w:t>
            </w:r>
            <w:r w:rsidR="001855B3">
              <w:t>Billions $)</w:t>
            </w:r>
          </w:p>
        </w:tc>
        <w:tc>
          <w:tcPr>
            <w:tcW w:w="1558" w:type="dxa"/>
          </w:tcPr>
          <w:p w14:paraId="68E0E99D" w14:textId="3C6CCD9D" w:rsidR="001F30A8" w:rsidRDefault="001855B3" w:rsidP="00174E44">
            <w:r>
              <w:t>7.8</w:t>
            </w:r>
          </w:p>
        </w:tc>
        <w:tc>
          <w:tcPr>
            <w:tcW w:w="1559" w:type="dxa"/>
          </w:tcPr>
          <w:p w14:paraId="176F0A86" w14:textId="3806B5CC" w:rsidR="001F30A8" w:rsidRDefault="00E91CF5" w:rsidP="00174E44">
            <w:r>
              <w:t>12.8</w:t>
            </w:r>
          </w:p>
        </w:tc>
        <w:tc>
          <w:tcPr>
            <w:tcW w:w="3117" w:type="dxa"/>
          </w:tcPr>
          <w:p w14:paraId="19F36C08" w14:textId="7B60F5E7" w:rsidR="001F30A8" w:rsidRDefault="00E91CF5" w:rsidP="00174E44">
            <w:r>
              <w:t>18.7</w:t>
            </w:r>
          </w:p>
        </w:tc>
      </w:tr>
      <w:tr w:rsidR="007806D7" w14:paraId="2C6FCDB5" w14:textId="77777777" w:rsidTr="003361EC">
        <w:tc>
          <w:tcPr>
            <w:tcW w:w="3116" w:type="dxa"/>
          </w:tcPr>
          <w:p w14:paraId="09A255C5" w14:textId="3300DB81" w:rsidR="007806D7" w:rsidRDefault="00E91CF5" w:rsidP="00174E44">
            <w:r>
              <w:t xml:space="preserve">Pre-tax undiscounted rate of return </w:t>
            </w:r>
            <w:r w:rsidR="0081592D">
              <w:t>(%)</w:t>
            </w:r>
          </w:p>
        </w:tc>
        <w:tc>
          <w:tcPr>
            <w:tcW w:w="1558" w:type="dxa"/>
          </w:tcPr>
          <w:p w14:paraId="33C1170C" w14:textId="471E5F87" w:rsidR="007806D7" w:rsidRDefault="0081592D" w:rsidP="00174E44">
            <w:r>
              <w:t>118%</w:t>
            </w:r>
          </w:p>
        </w:tc>
        <w:tc>
          <w:tcPr>
            <w:tcW w:w="1559" w:type="dxa"/>
          </w:tcPr>
          <w:p w14:paraId="119DEED8" w14:textId="67FC5F11" w:rsidR="007806D7" w:rsidRDefault="0081592D" w:rsidP="00174E44">
            <w:r>
              <w:t>147%</w:t>
            </w:r>
          </w:p>
        </w:tc>
        <w:tc>
          <w:tcPr>
            <w:tcW w:w="3117" w:type="dxa"/>
          </w:tcPr>
          <w:p w14:paraId="72E092E2" w14:textId="34C5505D" w:rsidR="007806D7" w:rsidRDefault="0081592D" w:rsidP="00174E44">
            <w:r>
              <w:t>184%</w:t>
            </w:r>
          </w:p>
        </w:tc>
      </w:tr>
    </w:tbl>
    <w:p w14:paraId="04515306" w14:textId="53BF38EE" w:rsidR="00154E3C" w:rsidRDefault="00154E3C" w:rsidP="00174E44"/>
    <w:p w14:paraId="69F7DD46" w14:textId="64F0A5F6" w:rsidR="004808FF" w:rsidRDefault="004808FF" w:rsidP="00174E44"/>
    <w:p w14:paraId="7F1BBEE8" w14:textId="77777777" w:rsidR="004808FF" w:rsidRPr="00174E44" w:rsidRDefault="004808FF" w:rsidP="00174E44">
      <w:bookmarkStart w:id="0" w:name="_GoBack"/>
      <w:bookmarkEnd w:id="0"/>
    </w:p>
    <w:sectPr w:rsidR="004808FF" w:rsidRPr="0017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Fan Heiti Std B">
    <w:altName w:val="Arial Unicode MS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54"/>
    <w:rsid w:val="000A68D7"/>
    <w:rsid w:val="00154E3C"/>
    <w:rsid w:val="00174E44"/>
    <w:rsid w:val="001855B3"/>
    <w:rsid w:val="001F30A8"/>
    <w:rsid w:val="00270B13"/>
    <w:rsid w:val="002C229F"/>
    <w:rsid w:val="003134DB"/>
    <w:rsid w:val="004558D5"/>
    <w:rsid w:val="004808FF"/>
    <w:rsid w:val="00645964"/>
    <w:rsid w:val="007806D7"/>
    <w:rsid w:val="0081592D"/>
    <w:rsid w:val="00835DE7"/>
    <w:rsid w:val="00A0618A"/>
    <w:rsid w:val="00A92D9D"/>
    <w:rsid w:val="00AC215D"/>
    <w:rsid w:val="00B44BBD"/>
    <w:rsid w:val="00BF7CDA"/>
    <w:rsid w:val="00D85154"/>
    <w:rsid w:val="00DD2B25"/>
    <w:rsid w:val="00E67947"/>
    <w:rsid w:val="00E9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95C6"/>
  <w15:chartTrackingRefBased/>
  <w15:docId w15:val="{32BC243C-FCF5-EF49-8B2B-0F3E2395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0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preciousokon61@gmail.com</dc:creator>
  <cp:keywords/>
  <dc:description/>
  <cp:lastModifiedBy>preciousokon61@gmail.com</cp:lastModifiedBy>
  <cp:revision>2</cp:revision>
  <dcterms:created xsi:type="dcterms:W3CDTF">2020-06-01T10:03:00Z</dcterms:created>
  <dcterms:modified xsi:type="dcterms:W3CDTF">2020-06-01T10:03:00Z</dcterms:modified>
</cp:coreProperties>
</file>