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2E62B" w14:textId="26AED199" w:rsidR="0039783F" w:rsidRDefault="003D7FCA">
      <w:pPr>
        <w:rPr>
          <w:rFonts w:ascii="Times New Roman" w:hAnsi="Times New Roman" w:cs="Times New Roman"/>
          <w:b/>
          <w:bCs/>
          <w:sz w:val="24"/>
          <w:szCs w:val="24"/>
        </w:rPr>
      </w:pPr>
      <w:r>
        <w:rPr>
          <w:rFonts w:ascii="Times New Roman" w:hAnsi="Times New Roman" w:cs="Times New Roman"/>
          <w:b/>
          <w:bCs/>
          <w:sz w:val="24"/>
          <w:szCs w:val="24"/>
        </w:rPr>
        <w:t>NAME: ODOK-OGAR DIVINE ONYODUMA</w:t>
      </w:r>
    </w:p>
    <w:p w14:paraId="1BAB9F72" w14:textId="4FF605DF" w:rsidR="003D7FCA" w:rsidRDefault="003D7FCA">
      <w:pPr>
        <w:rPr>
          <w:rFonts w:ascii="Times New Roman" w:hAnsi="Times New Roman" w:cs="Times New Roman"/>
          <w:b/>
          <w:bCs/>
          <w:sz w:val="24"/>
          <w:szCs w:val="24"/>
        </w:rPr>
      </w:pPr>
      <w:r>
        <w:rPr>
          <w:rFonts w:ascii="Times New Roman" w:hAnsi="Times New Roman" w:cs="Times New Roman"/>
          <w:b/>
          <w:bCs/>
          <w:sz w:val="24"/>
          <w:szCs w:val="24"/>
        </w:rPr>
        <w:t>MATRIC NUMBER: 18/MHS05/009</w:t>
      </w:r>
    </w:p>
    <w:p w14:paraId="73CEEC6B" w14:textId="11E5D75C" w:rsidR="003D7FCA" w:rsidRDefault="003D7FCA">
      <w:pPr>
        <w:rPr>
          <w:rFonts w:ascii="Times New Roman" w:hAnsi="Times New Roman" w:cs="Times New Roman"/>
          <w:b/>
          <w:bCs/>
          <w:sz w:val="24"/>
          <w:szCs w:val="24"/>
        </w:rPr>
      </w:pPr>
      <w:r>
        <w:rPr>
          <w:rFonts w:ascii="Times New Roman" w:hAnsi="Times New Roman" w:cs="Times New Roman"/>
          <w:b/>
          <w:bCs/>
          <w:sz w:val="24"/>
          <w:szCs w:val="24"/>
        </w:rPr>
        <w:t>DEPARTMENT: PHYSIOLOGY</w:t>
      </w:r>
    </w:p>
    <w:p w14:paraId="2C4C0A3D" w14:textId="0996A89B" w:rsidR="003D7FCA" w:rsidRDefault="003D7FCA">
      <w:pPr>
        <w:rPr>
          <w:rFonts w:ascii="Times New Roman" w:hAnsi="Times New Roman" w:cs="Times New Roman"/>
          <w:b/>
          <w:bCs/>
          <w:sz w:val="24"/>
          <w:szCs w:val="24"/>
        </w:rPr>
      </w:pPr>
      <w:r>
        <w:rPr>
          <w:rFonts w:ascii="Times New Roman" w:hAnsi="Times New Roman" w:cs="Times New Roman"/>
          <w:b/>
          <w:bCs/>
          <w:sz w:val="24"/>
          <w:szCs w:val="24"/>
        </w:rPr>
        <w:t>COURSE: BCH 204</w:t>
      </w:r>
    </w:p>
    <w:p w14:paraId="012528B0" w14:textId="39838E28" w:rsidR="003D7FCA" w:rsidRDefault="003D7FCA">
      <w:pPr>
        <w:rPr>
          <w:rFonts w:ascii="Times New Roman" w:hAnsi="Times New Roman" w:cs="Times New Roman"/>
          <w:b/>
          <w:bCs/>
          <w:sz w:val="24"/>
          <w:szCs w:val="24"/>
        </w:rPr>
      </w:pPr>
    </w:p>
    <w:p w14:paraId="06F1750B" w14:textId="7823D8AC" w:rsidR="003D7FCA" w:rsidRDefault="003D7FCA">
      <w:pPr>
        <w:rPr>
          <w:rFonts w:ascii="Times New Roman" w:hAnsi="Times New Roman" w:cs="Times New Roman"/>
          <w:b/>
          <w:bCs/>
          <w:sz w:val="24"/>
          <w:szCs w:val="24"/>
        </w:rPr>
      </w:pPr>
    </w:p>
    <w:p w14:paraId="123C28BC" w14:textId="1F5D0195" w:rsidR="003D7FCA" w:rsidRDefault="003D7FCA">
      <w:pPr>
        <w:rPr>
          <w:rFonts w:ascii="Times New Roman" w:hAnsi="Times New Roman" w:cs="Times New Roman"/>
          <w:b/>
          <w:bCs/>
          <w:sz w:val="24"/>
          <w:szCs w:val="24"/>
          <w:u w:val="single"/>
        </w:rPr>
      </w:pPr>
      <w:r>
        <w:rPr>
          <w:rFonts w:ascii="Times New Roman" w:hAnsi="Times New Roman" w:cs="Times New Roman"/>
          <w:b/>
          <w:bCs/>
          <w:sz w:val="24"/>
          <w:szCs w:val="24"/>
          <w:u w:val="single"/>
        </w:rPr>
        <w:t>QUESTIONS:</w:t>
      </w:r>
    </w:p>
    <w:p w14:paraId="7729ABF9" w14:textId="29E46F42" w:rsidR="003D7FCA" w:rsidRPr="003D7FCA" w:rsidRDefault="003D7FCA" w:rsidP="003D7FCA">
      <w:pPr>
        <w:pStyle w:val="NormalWeb"/>
        <w:shd w:val="clear" w:color="auto" w:fill="FFFFFF"/>
        <w:spacing w:before="0" w:beforeAutospacing="0" w:after="150" w:afterAutospacing="0"/>
        <w:rPr>
          <w:lang w:val="en-GB"/>
        </w:rPr>
      </w:pPr>
      <w:r w:rsidRPr="003D7FCA">
        <w:t>1a. What are coenzymes</w:t>
      </w:r>
      <w:r>
        <w:rPr>
          <w:lang w:val="en-GB"/>
        </w:rPr>
        <w:t>.</w:t>
      </w:r>
    </w:p>
    <w:p w14:paraId="14B767F2" w14:textId="25E3A959" w:rsidR="003D7FCA" w:rsidRPr="003D7FCA" w:rsidRDefault="003D7FCA" w:rsidP="003D7FCA">
      <w:pPr>
        <w:pStyle w:val="NormalWeb"/>
        <w:shd w:val="clear" w:color="auto" w:fill="FFFFFF"/>
        <w:spacing w:before="0" w:beforeAutospacing="0" w:after="150" w:afterAutospacing="0"/>
        <w:rPr>
          <w:lang w:val="en-GB"/>
        </w:rPr>
      </w:pPr>
      <w:r w:rsidRPr="003D7FCA">
        <w:t>b. Differentiate between fat and water soluble vitamins</w:t>
      </w:r>
      <w:r>
        <w:rPr>
          <w:lang w:val="en-GB"/>
        </w:rPr>
        <w:t>.</w:t>
      </w:r>
    </w:p>
    <w:p w14:paraId="5B1B6563" w14:textId="3B8D0C18" w:rsidR="003D7FCA" w:rsidRDefault="003D7FCA" w:rsidP="003D7FCA">
      <w:pPr>
        <w:pStyle w:val="NormalWeb"/>
        <w:shd w:val="clear" w:color="auto" w:fill="FFFFFF"/>
        <w:spacing w:before="0" w:beforeAutospacing="0" w:after="150" w:afterAutospacing="0"/>
        <w:rPr>
          <w:lang w:val="en-GB"/>
        </w:rPr>
      </w:pPr>
      <w:r w:rsidRPr="003D7FCA">
        <w:t>c. Describe niacin in relation to its coenzymic function</w:t>
      </w:r>
      <w:r>
        <w:rPr>
          <w:lang w:val="en-GB"/>
        </w:rPr>
        <w:t>.</w:t>
      </w:r>
    </w:p>
    <w:p w14:paraId="2D15DBBF" w14:textId="05001C71" w:rsidR="003D7FCA" w:rsidRDefault="003D7FCA" w:rsidP="003D7FCA">
      <w:pPr>
        <w:pStyle w:val="NormalWeb"/>
        <w:shd w:val="clear" w:color="auto" w:fill="FFFFFF"/>
        <w:spacing w:before="0" w:beforeAutospacing="0" w:after="150" w:afterAutospacing="0"/>
        <w:rPr>
          <w:b/>
          <w:bCs/>
          <w:u w:val="single"/>
          <w:lang w:val="en-GB"/>
        </w:rPr>
      </w:pPr>
      <w:r>
        <w:rPr>
          <w:b/>
          <w:bCs/>
          <w:u w:val="single"/>
          <w:lang w:val="en-GB"/>
        </w:rPr>
        <w:t>ANSWERS:</w:t>
      </w:r>
    </w:p>
    <w:p w14:paraId="568CA9E1" w14:textId="479EB35F" w:rsidR="00890E1C" w:rsidRPr="00890E1C" w:rsidRDefault="003D7FCA" w:rsidP="00890E1C">
      <w:pPr>
        <w:pStyle w:val="NormalWeb"/>
        <w:numPr>
          <w:ilvl w:val="0"/>
          <w:numId w:val="4"/>
        </w:numPr>
        <w:shd w:val="clear" w:color="auto" w:fill="FFFFFF"/>
        <w:spacing w:before="0" w:beforeAutospacing="0" w:after="150" w:afterAutospacing="0"/>
        <w:rPr>
          <w:b/>
          <w:bCs/>
          <w:lang w:val="en-GB"/>
        </w:rPr>
      </w:pPr>
      <w:r>
        <w:rPr>
          <w:lang w:val="en-GB"/>
        </w:rPr>
        <w:t>Coenzymes: these are cofactors that are loosely bound to the enzyme. They are organic in nature.</w:t>
      </w:r>
    </w:p>
    <w:p w14:paraId="27D7133D" w14:textId="77777777" w:rsidR="00890E1C" w:rsidRPr="00890E1C" w:rsidRDefault="00890E1C" w:rsidP="00890E1C">
      <w:pPr>
        <w:pStyle w:val="NormalWeb"/>
        <w:shd w:val="clear" w:color="auto" w:fill="FFFFFF"/>
        <w:spacing w:before="0" w:beforeAutospacing="0" w:after="150" w:afterAutospacing="0"/>
        <w:rPr>
          <w:b/>
          <w:bCs/>
          <w:lang w:val="en-GB"/>
        </w:rPr>
      </w:pPr>
      <w:r>
        <w:rPr>
          <w:lang w:val="en-GB"/>
        </w:rPr>
        <w:t xml:space="preserve">b. </w:t>
      </w:r>
    </w:p>
    <w:tbl>
      <w:tblPr>
        <w:tblStyle w:val="TableGrid"/>
        <w:tblW w:w="0" w:type="auto"/>
        <w:tblLook w:val="04A0" w:firstRow="1" w:lastRow="0" w:firstColumn="1" w:lastColumn="0" w:noHBand="0" w:noVBand="1"/>
      </w:tblPr>
      <w:tblGrid>
        <w:gridCol w:w="4508"/>
        <w:gridCol w:w="4508"/>
      </w:tblGrid>
      <w:tr w:rsidR="00890E1C" w14:paraId="23D474E7" w14:textId="77777777" w:rsidTr="00890E1C">
        <w:tc>
          <w:tcPr>
            <w:tcW w:w="4508" w:type="dxa"/>
          </w:tcPr>
          <w:p w14:paraId="0D2D5B1A" w14:textId="3F3C4D16" w:rsidR="00890E1C" w:rsidRDefault="00890E1C" w:rsidP="00890E1C">
            <w:pPr>
              <w:pStyle w:val="NormalWeb"/>
              <w:spacing w:before="0" w:beforeAutospacing="0" w:after="150" w:afterAutospacing="0"/>
              <w:rPr>
                <w:b/>
                <w:bCs/>
                <w:lang w:val="en-GB"/>
              </w:rPr>
            </w:pPr>
            <w:r>
              <w:rPr>
                <w:b/>
                <w:bCs/>
                <w:lang w:val="en-GB"/>
              </w:rPr>
              <w:t>FAT SOLUBLE</w:t>
            </w:r>
          </w:p>
        </w:tc>
        <w:tc>
          <w:tcPr>
            <w:tcW w:w="4508" w:type="dxa"/>
          </w:tcPr>
          <w:p w14:paraId="200CBDA7" w14:textId="07D634FE" w:rsidR="00890E1C" w:rsidRDefault="00890E1C" w:rsidP="00890E1C">
            <w:pPr>
              <w:pStyle w:val="NormalWeb"/>
              <w:spacing w:before="0" w:beforeAutospacing="0" w:after="150" w:afterAutospacing="0"/>
              <w:rPr>
                <w:b/>
                <w:bCs/>
                <w:lang w:val="en-GB"/>
              </w:rPr>
            </w:pPr>
            <w:r>
              <w:rPr>
                <w:b/>
                <w:bCs/>
                <w:lang w:val="en-GB"/>
              </w:rPr>
              <w:t>WATER SOLUBLE</w:t>
            </w:r>
          </w:p>
        </w:tc>
      </w:tr>
      <w:tr w:rsidR="00890E1C" w14:paraId="77ED5360" w14:textId="77777777" w:rsidTr="00890E1C">
        <w:tc>
          <w:tcPr>
            <w:tcW w:w="4508" w:type="dxa"/>
          </w:tcPr>
          <w:p w14:paraId="28959577" w14:textId="6BB3D677" w:rsidR="00890E1C" w:rsidRPr="00954245" w:rsidRDefault="00890E1C" w:rsidP="00890E1C">
            <w:pPr>
              <w:pStyle w:val="NormalWeb"/>
              <w:spacing w:before="0" w:beforeAutospacing="0" w:after="150" w:afterAutospacing="0"/>
              <w:rPr>
                <w:lang w:val="en-GB"/>
              </w:rPr>
            </w:pPr>
            <w:r w:rsidRPr="00954245">
              <w:rPr>
                <w:lang w:val="en-GB"/>
              </w:rPr>
              <w:t>Soluble in fat</w:t>
            </w:r>
            <w:r w:rsidR="00954245" w:rsidRPr="00954245">
              <w:rPr>
                <w:lang w:val="en-GB"/>
              </w:rPr>
              <w:t>.</w:t>
            </w:r>
          </w:p>
        </w:tc>
        <w:tc>
          <w:tcPr>
            <w:tcW w:w="4508" w:type="dxa"/>
          </w:tcPr>
          <w:p w14:paraId="0D93BE04" w14:textId="477B781F" w:rsidR="00890E1C" w:rsidRPr="00954245" w:rsidRDefault="00890E1C" w:rsidP="00890E1C">
            <w:pPr>
              <w:pStyle w:val="NormalWeb"/>
              <w:spacing w:before="0" w:beforeAutospacing="0" w:after="150" w:afterAutospacing="0"/>
              <w:rPr>
                <w:lang w:val="en-GB"/>
              </w:rPr>
            </w:pPr>
            <w:r w:rsidRPr="00954245">
              <w:rPr>
                <w:lang w:val="en-GB"/>
              </w:rPr>
              <w:t>Soluble in water</w:t>
            </w:r>
            <w:r w:rsidR="00954245" w:rsidRPr="00954245">
              <w:rPr>
                <w:lang w:val="en-GB"/>
              </w:rPr>
              <w:t>.</w:t>
            </w:r>
          </w:p>
        </w:tc>
      </w:tr>
      <w:tr w:rsidR="00890E1C" w14:paraId="2C8DAB77" w14:textId="77777777" w:rsidTr="00890E1C">
        <w:tc>
          <w:tcPr>
            <w:tcW w:w="4508" w:type="dxa"/>
          </w:tcPr>
          <w:p w14:paraId="66A4855B" w14:textId="40111DDF" w:rsidR="00890E1C" w:rsidRPr="00954245" w:rsidRDefault="00890E1C" w:rsidP="00890E1C">
            <w:pPr>
              <w:pStyle w:val="NormalWeb"/>
              <w:spacing w:before="0" w:beforeAutospacing="0" w:after="150" w:afterAutospacing="0"/>
              <w:rPr>
                <w:lang w:val="en-GB"/>
              </w:rPr>
            </w:pPr>
            <w:r w:rsidRPr="00954245">
              <w:rPr>
                <w:lang w:val="en-GB"/>
              </w:rPr>
              <w:t>Absorption requires bile salt</w:t>
            </w:r>
            <w:r w:rsidR="00954245" w:rsidRPr="00954245">
              <w:rPr>
                <w:lang w:val="en-GB"/>
              </w:rPr>
              <w:t>.</w:t>
            </w:r>
            <w:r w:rsidRPr="00954245">
              <w:rPr>
                <w:lang w:val="en-GB"/>
              </w:rPr>
              <w:t xml:space="preserve"> </w:t>
            </w:r>
          </w:p>
        </w:tc>
        <w:tc>
          <w:tcPr>
            <w:tcW w:w="4508" w:type="dxa"/>
          </w:tcPr>
          <w:p w14:paraId="509CDB16" w14:textId="438AD4C3" w:rsidR="00890E1C" w:rsidRPr="00954245" w:rsidRDefault="00890E1C" w:rsidP="00890E1C">
            <w:pPr>
              <w:pStyle w:val="NormalWeb"/>
              <w:spacing w:before="0" w:beforeAutospacing="0" w:after="150" w:afterAutospacing="0"/>
              <w:rPr>
                <w:lang w:val="en-GB"/>
              </w:rPr>
            </w:pPr>
            <w:r w:rsidRPr="00954245">
              <w:rPr>
                <w:lang w:val="en-GB"/>
              </w:rPr>
              <w:t>Absorption is simple</w:t>
            </w:r>
            <w:r w:rsidR="00954245" w:rsidRPr="00954245">
              <w:rPr>
                <w:lang w:val="en-GB"/>
              </w:rPr>
              <w:t>.</w:t>
            </w:r>
          </w:p>
        </w:tc>
      </w:tr>
      <w:tr w:rsidR="00890E1C" w14:paraId="5584026A" w14:textId="77777777" w:rsidTr="00890E1C">
        <w:tc>
          <w:tcPr>
            <w:tcW w:w="4508" w:type="dxa"/>
          </w:tcPr>
          <w:p w14:paraId="51F7D137" w14:textId="5C3ED778" w:rsidR="00890E1C" w:rsidRPr="00954245" w:rsidRDefault="00890E1C" w:rsidP="00890E1C">
            <w:pPr>
              <w:pStyle w:val="NormalWeb"/>
              <w:spacing w:before="0" w:beforeAutospacing="0" w:after="150" w:afterAutospacing="0"/>
              <w:rPr>
                <w:lang w:val="en-GB"/>
              </w:rPr>
            </w:pPr>
            <w:r w:rsidRPr="00954245">
              <w:rPr>
                <w:lang w:val="en-GB"/>
              </w:rPr>
              <w:t>Carrier proteins present</w:t>
            </w:r>
            <w:r w:rsidR="00954245" w:rsidRPr="00954245">
              <w:rPr>
                <w:lang w:val="en-GB"/>
              </w:rPr>
              <w:t>.</w:t>
            </w:r>
          </w:p>
        </w:tc>
        <w:tc>
          <w:tcPr>
            <w:tcW w:w="4508" w:type="dxa"/>
          </w:tcPr>
          <w:p w14:paraId="2B2214C8" w14:textId="71DCED5C" w:rsidR="00890E1C" w:rsidRPr="00954245" w:rsidRDefault="00890E1C" w:rsidP="00890E1C">
            <w:pPr>
              <w:pStyle w:val="NormalWeb"/>
              <w:spacing w:before="0" w:beforeAutospacing="0" w:after="150" w:afterAutospacing="0"/>
              <w:rPr>
                <w:lang w:val="en-GB"/>
              </w:rPr>
            </w:pPr>
            <w:r w:rsidRPr="00954245">
              <w:rPr>
                <w:lang w:val="en-GB"/>
              </w:rPr>
              <w:t>No carrier proteins needed</w:t>
            </w:r>
            <w:r w:rsidR="00954245" w:rsidRPr="00954245">
              <w:rPr>
                <w:lang w:val="en-GB"/>
              </w:rPr>
              <w:t>.</w:t>
            </w:r>
          </w:p>
        </w:tc>
      </w:tr>
      <w:tr w:rsidR="00890E1C" w14:paraId="3E1DEDBD" w14:textId="77777777" w:rsidTr="00890E1C">
        <w:tc>
          <w:tcPr>
            <w:tcW w:w="4508" w:type="dxa"/>
          </w:tcPr>
          <w:p w14:paraId="445D7A78" w14:textId="0170B791" w:rsidR="00890E1C" w:rsidRPr="00954245" w:rsidRDefault="00890E1C" w:rsidP="00890E1C">
            <w:pPr>
              <w:pStyle w:val="NormalWeb"/>
              <w:spacing w:before="0" w:beforeAutospacing="0" w:after="150" w:afterAutospacing="0"/>
              <w:rPr>
                <w:lang w:val="en-GB"/>
              </w:rPr>
            </w:pPr>
            <w:r w:rsidRPr="00954245">
              <w:rPr>
                <w:lang w:val="en-GB"/>
              </w:rPr>
              <w:t>Stored in the liver</w:t>
            </w:r>
            <w:r w:rsidR="00954245" w:rsidRPr="00954245">
              <w:rPr>
                <w:lang w:val="en-GB"/>
              </w:rPr>
              <w:t>.</w:t>
            </w:r>
          </w:p>
        </w:tc>
        <w:tc>
          <w:tcPr>
            <w:tcW w:w="4508" w:type="dxa"/>
          </w:tcPr>
          <w:p w14:paraId="51301EE4" w14:textId="799C6F8F" w:rsidR="00890E1C" w:rsidRPr="00954245" w:rsidRDefault="00890E1C" w:rsidP="00890E1C">
            <w:pPr>
              <w:pStyle w:val="NormalWeb"/>
              <w:spacing w:before="0" w:beforeAutospacing="0" w:after="150" w:afterAutospacing="0"/>
              <w:rPr>
                <w:lang w:val="en-GB"/>
              </w:rPr>
            </w:pPr>
            <w:r w:rsidRPr="00954245">
              <w:rPr>
                <w:lang w:val="en-GB"/>
              </w:rPr>
              <w:t>Has no storage</w:t>
            </w:r>
            <w:r w:rsidR="00954245" w:rsidRPr="00954245">
              <w:rPr>
                <w:lang w:val="en-GB"/>
              </w:rPr>
              <w:t>.</w:t>
            </w:r>
          </w:p>
        </w:tc>
      </w:tr>
      <w:tr w:rsidR="00890E1C" w14:paraId="62424140" w14:textId="77777777" w:rsidTr="00890E1C">
        <w:tc>
          <w:tcPr>
            <w:tcW w:w="4508" w:type="dxa"/>
          </w:tcPr>
          <w:p w14:paraId="1D364E7E" w14:textId="16D450A9" w:rsidR="00890E1C" w:rsidRPr="00954245" w:rsidRDefault="00890E1C" w:rsidP="00890E1C">
            <w:pPr>
              <w:pStyle w:val="NormalWeb"/>
              <w:spacing w:before="0" w:beforeAutospacing="0" w:after="150" w:afterAutospacing="0"/>
              <w:rPr>
                <w:lang w:val="en-GB"/>
              </w:rPr>
            </w:pPr>
            <w:r w:rsidRPr="00954245">
              <w:rPr>
                <w:lang w:val="en-GB"/>
              </w:rPr>
              <w:t>Not excreted</w:t>
            </w:r>
            <w:r w:rsidR="00954245" w:rsidRPr="00954245">
              <w:rPr>
                <w:lang w:val="en-GB"/>
              </w:rPr>
              <w:t>.</w:t>
            </w:r>
          </w:p>
        </w:tc>
        <w:tc>
          <w:tcPr>
            <w:tcW w:w="4508" w:type="dxa"/>
          </w:tcPr>
          <w:p w14:paraId="476E01A7" w14:textId="6A271D50" w:rsidR="00890E1C" w:rsidRPr="00954245" w:rsidRDefault="00890E1C" w:rsidP="00890E1C">
            <w:pPr>
              <w:pStyle w:val="NormalWeb"/>
              <w:spacing w:before="0" w:beforeAutospacing="0" w:after="150" w:afterAutospacing="0"/>
              <w:rPr>
                <w:lang w:val="en-GB"/>
              </w:rPr>
            </w:pPr>
            <w:r w:rsidRPr="00954245">
              <w:rPr>
                <w:lang w:val="en-GB"/>
              </w:rPr>
              <w:t>Excreted</w:t>
            </w:r>
            <w:r w:rsidR="00954245" w:rsidRPr="00954245">
              <w:rPr>
                <w:lang w:val="en-GB"/>
              </w:rPr>
              <w:t>.</w:t>
            </w:r>
            <w:r w:rsidRPr="00954245">
              <w:rPr>
                <w:lang w:val="en-GB"/>
              </w:rPr>
              <w:t xml:space="preserve"> </w:t>
            </w:r>
          </w:p>
        </w:tc>
      </w:tr>
      <w:tr w:rsidR="00890E1C" w14:paraId="7093A946" w14:textId="77777777" w:rsidTr="00890E1C">
        <w:tc>
          <w:tcPr>
            <w:tcW w:w="4508" w:type="dxa"/>
          </w:tcPr>
          <w:p w14:paraId="22CE2F6F" w14:textId="323B77C3" w:rsidR="00890E1C" w:rsidRPr="00954245" w:rsidRDefault="00890E1C" w:rsidP="00890E1C">
            <w:pPr>
              <w:pStyle w:val="NormalWeb"/>
              <w:spacing w:before="0" w:beforeAutospacing="0" w:after="150" w:afterAutospacing="0"/>
              <w:rPr>
                <w:lang w:val="en-GB"/>
              </w:rPr>
            </w:pPr>
            <w:r w:rsidRPr="00954245">
              <w:rPr>
                <w:lang w:val="en-GB"/>
              </w:rPr>
              <w:t>Deficiency manifests only when stored are depleted.</w:t>
            </w:r>
          </w:p>
        </w:tc>
        <w:tc>
          <w:tcPr>
            <w:tcW w:w="4508" w:type="dxa"/>
          </w:tcPr>
          <w:p w14:paraId="5AFE807A" w14:textId="61A49981" w:rsidR="00890E1C" w:rsidRPr="00954245" w:rsidRDefault="00890E1C" w:rsidP="00890E1C">
            <w:pPr>
              <w:pStyle w:val="NormalWeb"/>
              <w:spacing w:before="0" w:beforeAutospacing="0" w:after="150" w:afterAutospacing="0"/>
              <w:rPr>
                <w:lang w:val="en-GB"/>
              </w:rPr>
            </w:pPr>
            <w:r w:rsidRPr="00954245">
              <w:rPr>
                <w:lang w:val="en-GB"/>
              </w:rPr>
              <w:t>Deficiency manifest rapidly as there is no storage.</w:t>
            </w:r>
          </w:p>
        </w:tc>
      </w:tr>
      <w:tr w:rsidR="00890E1C" w14:paraId="2CDF119C" w14:textId="77777777" w:rsidTr="00890E1C">
        <w:tc>
          <w:tcPr>
            <w:tcW w:w="4508" w:type="dxa"/>
          </w:tcPr>
          <w:p w14:paraId="6BD1E447" w14:textId="022F2C47" w:rsidR="00890E1C" w:rsidRPr="00954245" w:rsidRDefault="00890E1C" w:rsidP="00890E1C">
            <w:pPr>
              <w:pStyle w:val="NormalWeb"/>
              <w:spacing w:before="0" w:beforeAutospacing="0" w:after="150" w:afterAutospacing="0"/>
              <w:rPr>
                <w:lang w:val="en-GB"/>
              </w:rPr>
            </w:pPr>
            <w:r w:rsidRPr="00954245">
              <w:rPr>
                <w:lang w:val="en-GB"/>
              </w:rPr>
              <w:t xml:space="preserve">The treatment of deficiency involves </w:t>
            </w:r>
            <w:r w:rsidR="00954245" w:rsidRPr="00954245">
              <w:rPr>
                <w:lang w:val="en-GB"/>
              </w:rPr>
              <w:t>single closes to prevent it.</w:t>
            </w:r>
          </w:p>
        </w:tc>
        <w:tc>
          <w:tcPr>
            <w:tcW w:w="4508" w:type="dxa"/>
          </w:tcPr>
          <w:p w14:paraId="6E2F6FC0" w14:textId="15D7BA1C" w:rsidR="00890E1C" w:rsidRPr="00954245" w:rsidRDefault="00954245" w:rsidP="00890E1C">
            <w:pPr>
              <w:pStyle w:val="NormalWeb"/>
              <w:spacing w:before="0" w:beforeAutospacing="0" w:after="150" w:afterAutospacing="0"/>
              <w:rPr>
                <w:lang w:val="en-GB"/>
              </w:rPr>
            </w:pPr>
            <w:r w:rsidRPr="00954245">
              <w:rPr>
                <w:lang w:val="en-GB"/>
              </w:rPr>
              <w:t>Regular dietary supply is required</w:t>
            </w:r>
            <w:r>
              <w:rPr>
                <w:lang w:val="en-GB"/>
              </w:rPr>
              <w:t>.</w:t>
            </w:r>
          </w:p>
        </w:tc>
      </w:tr>
      <w:tr w:rsidR="00890E1C" w14:paraId="2E330E63" w14:textId="77777777" w:rsidTr="00890E1C">
        <w:tc>
          <w:tcPr>
            <w:tcW w:w="4508" w:type="dxa"/>
          </w:tcPr>
          <w:p w14:paraId="04B36711" w14:textId="27411BB5" w:rsidR="00890E1C" w:rsidRPr="00954245" w:rsidRDefault="00954245" w:rsidP="00890E1C">
            <w:pPr>
              <w:pStyle w:val="NormalWeb"/>
              <w:spacing w:before="0" w:beforeAutospacing="0" w:after="150" w:afterAutospacing="0"/>
              <w:rPr>
                <w:lang w:val="en-GB"/>
              </w:rPr>
            </w:pPr>
            <w:r w:rsidRPr="00954245">
              <w:rPr>
                <w:lang w:val="en-GB"/>
              </w:rPr>
              <w:t>Includes vitamin A, D, E, K</w:t>
            </w:r>
            <w:r>
              <w:rPr>
                <w:lang w:val="en-GB"/>
              </w:rPr>
              <w:t>.</w:t>
            </w:r>
          </w:p>
        </w:tc>
        <w:tc>
          <w:tcPr>
            <w:tcW w:w="4508" w:type="dxa"/>
          </w:tcPr>
          <w:p w14:paraId="71859F09" w14:textId="100B9433" w:rsidR="00890E1C" w:rsidRPr="00954245" w:rsidRDefault="00954245" w:rsidP="00890E1C">
            <w:pPr>
              <w:pStyle w:val="NormalWeb"/>
              <w:spacing w:before="0" w:beforeAutospacing="0" w:after="150" w:afterAutospacing="0"/>
              <w:rPr>
                <w:lang w:val="en-GB"/>
              </w:rPr>
            </w:pPr>
            <w:r w:rsidRPr="00954245">
              <w:rPr>
                <w:lang w:val="en-GB"/>
              </w:rPr>
              <w:t>Includes vitamin B-complex &amp; C</w:t>
            </w:r>
            <w:r>
              <w:rPr>
                <w:lang w:val="en-GB"/>
              </w:rPr>
              <w:t>.</w:t>
            </w:r>
          </w:p>
        </w:tc>
      </w:tr>
    </w:tbl>
    <w:p w14:paraId="2E542C7D" w14:textId="1ACC39EE" w:rsidR="00890E1C" w:rsidRPr="00890E1C" w:rsidRDefault="00890E1C" w:rsidP="00890E1C">
      <w:pPr>
        <w:pStyle w:val="NormalWeb"/>
        <w:shd w:val="clear" w:color="auto" w:fill="FFFFFF"/>
        <w:spacing w:before="0" w:beforeAutospacing="0" w:after="150" w:afterAutospacing="0"/>
        <w:rPr>
          <w:b/>
          <w:bCs/>
          <w:lang w:val="en-GB"/>
        </w:rPr>
      </w:pPr>
    </w:p>
    <w:p w14:paraId="4E126B7F" w14:textId="31B96897" w:rsidR="003D7FCA" w:rsidRPr="00954245" w:rsidRDefault="00954245">
      <w:pPr>
        <w:rPr>
          <w:rFonts w:ascii="Times New Roman" w:hAnsi="Times New Roman" w:cs="Times New Roman"/>
          <w:sz w:val="24"/>
          <w:szCs w:val="24"/>
        </w:rPr>
      </w:pPr>
      <w:r>
        <w:rPr>
          <w:rFonts w:ascii="Times New Roman" w:hAnsi="Times New Roman" w:cs="Times New Roman"/>
          <w:b/>
          <w:bCs/>
          <w:sz w:val="24"/>
          <w:szCs w:val="24"/>
        </w:rPr>
        <w:t xml:space="preserve">C. </w:t>
      </w:r>
      <w:r w:rsidRPr="00954245">
        <w:rPr>
          <w:rFonts w:ascii="Times New Roman" w:hAnsi="Times New Roman" w:cs="Times New Roman"/>
          <w:sz w:val="24"/>
          <w:szCs w:val="24"/>
          <w:shd w:val="clear" w:color="auto" w:fill="FFFFFF"/>
        </w:rPr>
        <w:t>This vitamin can generally be found in two distinctive forms, namely nicotinic acid and nicotinamide. These substances are used by the body to form the coenzymes NAD and NADP. Niacin coenzymes degrade carbohydrates, fats, proteins and alcohols and synthesize fatty acids and cholesterol</w:t>
      </w:r>
      <w:r>
        <w:rPr>
          <w:rFonts w:ascii="Times New Roman" w:hAnsi="Times New Roman" w:cs="Times New Roman"/>
          <w:sz w:val="24"/>
          <w:szCs w:val="24"/>
          <w:shd w:val="clear" w:color="auto" w:fill="FFFFFF"/>
        </w:rPr>
        <w:t>.</w:t>
      </w:r>
    </w:p>
    <w:sectPr w:rsidR="003D7FCA" w:rsidRPr="009542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2CF4D" w14:textId="77777777" w:rsidR="00B46B73" w:rsidRDefault="00B46B73" w:rsidP="003D7FCA">
      <w:pPr>
        <w:spacing w:after="0" w:line="240" w:lineRule="auto"/>
      </w:pPr>
      <w:r>
        <w:separator/>
      </w:r>
    </w:p>
  </w:endnote>
  <w:endnote w:type="continuationSeparator" w:id="0">
    <w:p w14:paraId="2AD1F79D" w14:textId="77777777" w:rsidR="00B46B73" w:rsidRDefault="00B46B73" w:rsidP="003D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138C0" w14:textId="77777777" w:rsidR="00B46B73" w:rsidRDefault="00B46B73" w:rsidP="003D7FCA">
      <w:pPr>
        <w:spacing w:after="0" w:line="240" w:lineRule="auto"/>
      </w:pPr>
      <w:r>
        <w:separator/>
      </w:r>
    </w:p>
  </w:footnote>
  <w:footnote w:type="continuationSeparator" w:id="0">
    <w:p w14:paraId="5516010A" w14:textId="77777777" w:rsidR="00B46B73" w:rsidRDefault="00B46B73" w:rsidP="003D7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5A8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130042"/>
    <w:multiLevelType w:val="multilevel"/>
    <w:tmpl w:val="AC5CF5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9F24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42928DE"/>
    <w:multiLevelType w:val="hybridMultilevel"/>
    <w:tmpl w:val="075CB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CA"/>
    <w:rsid w:val="0039783F"/>
    <w:rsid w:val="003D7FCA"/>
    <w:rsid w:val="00890E1C"/>
    <w:rsid w:val="00954245"/>
    <w:rsid w:val="00B46B73"/>
    <w:rsid w:val="00F9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7BBC"/>
  <w15:chartTrackingRefBased/>
  <w15:docId w15:val="{29C3AF42-210B-4536-8335-570BB19F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FCA"/>
  </w:style>
  <w:style w:type="paragraph" w:styleId="Footer">
    <w:name w:val="footer"/>
    <w:basedOn w:val="Normal"/>
    <w:link w:val="FooterChar"/>
    <w:uiPriority w:val="99"/>
    <w:unhideWhenUsed/>
    <w:rsid w:val="003D7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FCA"/>
  </w:style>
  <w:style w:type="paragraph" w:styleId="NormalWeb">
    <w:name w:val="Normal (Web)"/>
    <w:basedOn w:val="Normal"/>
    <w:uiPriority w:val="99"/>
    <w:semiHidden/>
    <w:unhideWhenUsed/>
    <w:rsid w:val="003D7FCA"/>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table" w:styleId="TableGrid">
    <w:name w:val="Table Grid"/>
    <w:basedOn w:val="TableNormal"/>
    <w:uiPriority w:val="39"/>
    <w:rsid w:val="00890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Onyoduma</dc:creator>
  <cp:keywords/>
  <dc:description/>
  <cp:lastModifiedBy>Divine Onyoduma</cp:lastModifiedBy>
  <cp:revision>1</cp:revision>
  <dcterms:created xsi:type="dcterms:W3CDTF">2020-06-01T23:45:00Z</dcterms:created>
  <dcterms:modified xsi:type="dcterms:W3CDTF">2020-06-02T00:12:00Z</dcterms:modified>
</cp:coreProperties>
</file>