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0A" w:rsidRDefault="007B76E9">
      <w:pPr>
        <w:rPr>
          <w:rFonts w:ascii="Times New Roman" w:hAnsi="Times New Roman" w:cs="Times New Roman"/>
          <w:b/>
          <w:sz w:val="24"/>
          <w:szCs w:val="24"/>
        </w:rPr>
      </w:pPr>
      <w:r>
        <w:rPr>
          <w:rFonts w:ascii="Times New Roman" w:hAnsi="Times New Roman" w:cs="Times New Roman"/>
          <w:b/>
          <w:sz w:val="24"/>
          <w:szCs w:val="24"/>
        </w:rPr>
        <w:t>NAME; AKEREDOLU UBO</w:t>
      </w:r>
    </w:p>
    <w:p w:rsidR="007B76E9" w:rsidRDefault="007B76E9">
      <w:pPr>
        <w:rPr>
          <w:rFonts w:ascii="Times New Roman" w:hAnsi="Times New Roman" w:cs="Times New Roman"/>
          <w:b/>
          <w:sz w:val="24"/>
          <w:szCs w:val="24"/>
        </w:rPr>
      </w:pPr>
      <w:r>
        <w:rPr>
          <w:rFonts w:ascii="Times New Roman" w:hAnsi="Times New Roman" w:cs="Times New Roman"/>
          <w:b/>
          <w:sz w:val="24"/>
          <w:szCs w:val="24"/>
        </w:rPr>
        <w:t>MATRIC NUMBER; 18/MHS02/028</w:t>
      </w:r>
    </w:p>
    <w:p w:rsidR="007B76E9" w:rsidRDefault="007B76E9">
      <w:pPr>
        <w:rPr>
          <w:rFonts w:ascii="Times New Roman" w:hAnsi="Times New Roman" w:cs="Times New Roman"/>
          <w:b/>
          <w:sz w:val="24"/>
          <w:szCs w:val="24"/>
        </w:rPr>
      </w:pPr>
      <w:r>
        <w:rPr>
          <w:rFonts w:ascii="Times New Roman" w:hAnsi="Times New Roman" w:cs="Times New Roman"/>
          <w:b/>
          <w:sz w:val="24"/>
          <w:szCs w:val="24"/>
        </w:rPr>
        <w:t>COURSE CODE; PHS212</w:t>
      </w:r>
    </w:p>
    <w:p w:rsidR="007B76E9" w:rsidRDefault="007B76E9">
      <w:pPr>
        <w:rPr>
          <w:rFonts w:ascii="Times New Roman" w:hAnsi="Times New Roman" w:cs="Times New Roman"/>
          <w:b/>
          <w:sz w:val="24"/>
          <w:szCs w:val="24"/>
        </w:rPr>
      </w:pPr>
      <w:r>
        <w:rPr>
          <w:rFonts w:ascii="Times New Roman" w:hAnsi="Times New Roman" w:cs="Times New Roman"/>
          <w:b/>
          <w:sz w:val="24"/>
          <w:szCs w:val="24"/>
        </w:rPr>
        <w:t>DEPARTMENT; NURSING</w:t>
      </w:r>
    </w:p>
    <w:p w:rsidR="007B76E9" w:rsidRDefault="007B76E9">
      <w:pPr>
        <w:rPr>
          <w:rFonts w:ascii="Times New Roman" w:hAnsi="Times New Roman" w:cs="Times New Roman"/>
          <w:b/>
          <w:sz w:val="24"/>
          <w:szCs w:val="24"/>
        </w:rPr>
      </w:pPr>
    </w:p>
    <w:p w:rsidR="00044C44" w:rsidRDefault="00044C44">
      <w:pPr>
        <w:rPr>
          <w:rFonts w:ascii="Times New Roman" w:hAnsi="Times New Roman" w:cs="Times New Roman"/>
          <w:b/>
          <w:sz w:val="24"/>
          <w:szCs w:val="24"/>
          <w:u w:val="single"/>
        </w:rPr>
      </w:pPr>
      <w:r>
        <w:rPr>
          <w:rFonts w:ascii="Times New Roman" w:hAnsi="Times New Roman" w:cs="Times New Roman"/>
          <w:b/>
          <w:sz w:val="24"/>
          <w:szCs w:val="24"/>
          <w:u w:val="single"/>
        </w:rPr>
        <w:t>THE PHYSIOLOGY OF BALANCE</w:t>
      </w:r>
    </w:p>
    <w:p w:rsidR="007F5977" w:rsidRPr="007F5977" w:rsidRDefault="007F5977" w:rsidP="007F5977">
      <w:pPr>
        <w:pStyle w:val="NormalWeb"/>
        <w:shd w:val="clear" w:color="auto" w:fill="FFFFFF"/>
      </w:pPr>
      <w:r w:rsidRPr="007F5977">
        <w:t>The </w:t>
      </w:r>
      <w:hyperlink r:id="rId5" w:history="1">
        <w:r w:rsidRPr="007F5977">
          <w:rPr>
            <w:rStyle w:val="Hyperlink"/>
            <w:color w:val="auto"/>
            <w:u w:val="none"/>
          </w:rPr>
          <w:t>vestibular system</w:t>
        </w:r>
      </w:hyperlink>
      <w:r w:rsidRPr="007F5977">
        <w:t> is the sensory apparatus of the </w:t>
      </w:r>
      <w:hyperlink r:id="rId6" w:history="1">
        <w:r w:rsidRPr="007F5977">
          <w:rPr>
            <w:rStyle w:val="Hyperlink"/>
            <w:color w:val="auto"/>
            <w:u w:val="none"/>
          </w:rPr>
          <w:t>inner ear</w:t>
        </w:r>
      </w:hyperlink>
      <w:r w:rsidRPr="007F5977">
        <w:t> that helps the body maintain its postural </w:t>
      </w:r>
      <w:hyperlink r:id="rId7" w:history="1">
        <w:r w:rsidRPr="007F5977">
          <w:rPr>
            <w:rStyle w:val="Hyperlink"/>
            <w:color w:val="auto"/>
            <w:u w:val="none"/>
          </w:rPr>
          <w:t>equilibrium</w:t>
        </w:r>
      </w:hyperlink>
      <w:r w:rsidRPr="007F5977">
        <w:t>. The information furnished by the vestibular system is also essential for coordinating the position of the </w:t>
      </w:r>
      <w:hyperlink r:id="rId8" w:history="1">
        <w:r w:rsidRPr="007F5977">
          <w:rPr>
            <w:rStyle w:val="Hyperlink"/>
            <w:color w:val="auto"/>
            <w:u w:val="none"/>
          </w:rPr>
          <w:t>head</w:t>
        </w:r>
      </w:hyperlink>
      <w:r w:rsidRPr="007F5977">
        <w:t> and the movement of the eyes. There are two sets of end organs in the inner ear, or labyrinth: the </w:t>
      </w:r>
      <w:proofErr w:type="spellStart"/>
      <w:r w:rsidRPr="007F5977">
        <w:fldChar w:fldCharType="begin"/>
      </w:r>
      <w:r w:rsidRPr="007F5977">
        <w:instrText xml:space="preserve"> HYPERLINK "https://www.britannica.com/science/semicircular-canal" </w:instrText>
      </w:r>
      <w:r w:rsidRPr="007F5977">
        <w:fldChar w:fldCharType="separate"/>
      </w:r>
      <w:r w:rsidRPr="007F5977">
        <w:rPr>
          <w:rStyle w:val="Hyperlink"/>
          <w:color w:val="auto"/>
          <w:u w:val="none"/>
        </w:rPr>
        <w:t>semicircular</w:t>
      </w:r>
      <w:proofErr w:type="spellEnd"/>
      <w:r w:rsidRPr="007F5977">
        <w:rPr>
          <w:rStyle w:val="Hyperlink"/>
          <w:color w:val="auto"/>
          <w:u w:val="none"/>
        </w:rPr>
        <w:t xml:space="preserve"> canals</w:t>
      </w:r>
      <w:r w:rsidRPr="007F5977">
        <w:fldChar w:fldCharType="end"/>
      </w:r>
      <w:r w:rsidRPr="007F5977">
        <w:t>, which respond to </w:t>
      </w:r>
      <w:hyperlink r:id="rId9" w:history="1">
        <w:r w:rsidRPr="007F5977">
          <w:rPr>
            <w:rStyle w:val="Hyperlink"/>
            <w:color w:val="auto"/>
            <w:u w:val="none"/>
          </w:rPr>
          <w:t>rotational</w:t>
        </w:r>
      </w:hyperlink>
      <w:r w:rsidRPr="007F5977">
        <w:t> movements (angular acceleration); and the </w:t>
      </w:r>
      <w:hyperlink r:id="rId10" w:history="1">
        <w:r w:rsidRPr="007F5977">
          <w:rPr>
            <w:rStyle w:val="Hyperlink"/>
            <w:color w:val="auto"/>
            <w:u w:val="none"/>
          </w:rPr>
          <w:t>utricle</w:t>
        </w:r>
      </w:hyperlink>
      <w:r w:rsidRPr="007F5977">
        <w:t> and </w:t>
      </w:r>
      <w:proofErr w:type="spellStart"/>
      <w:r w:rsidRPr="007F5977">
        <w:fldChar w:fldCharType="begin"/>
      </w:r>
      <w:r w:rsidRPr="007F5977">
        <w:instrText xml:space="preserve"> HYPERLINK "https://www.britannica.com/science/saccule" </w:instrText>
      </w:r>
      <w:r w:rsidRPr="007F5977">
        <w:fldChar w:fldCharType="separate"/>
      </w:r>
      <w:r w:rsidRPr="007F5977">
        <w:rPr>
          <w:rStyle w:val="Hyperlink"/>
          <w:color w:val="auto"/>
          <w:u w:val="none"/>
        </w:rPr>
        <w:t>saccule</w:t>
      </w:r>
      <w:proofErr w:type="spellEnd"/>
      <w:r w:rsidRPr="007F5977">
        <w:fldChar w:fldCharType="end"/>
      </w:r>
      <w:r w:rsidRPr="007F5977">
        <w:t> within the </w:t>
      </w:r>
      <w:hyperlink r:id="rId11" w:history="1">
        <w:r w:rsidRPr="007F5977">
          <w:rPr>
            <w:rStyle w:val="Hyperlink"/>
            <w:color w:val="auto"/>
            <w:u w:val="none"/>
          </w:rPr>
          <w:t>vestibule</w:t>
        </w:r>
      </w:hyperlink>
      <w:r w:rsidRPr="007F5977">
        <w:t xml:space="preserve">, which respond to changes in the position of the head with respect to gravity (linear acceleration). The information these organs deliver is proprioceptive in character, dealing with events within the body itself, rather than </w:t>
      </w:r>
      <w:proofErr w:type="spellStart"/>
      <w:r w:rsidRPr="007F5977">
        <w:t>exteroceptive</w:t>
      </w:r>
      <w:proofErr w:type="spellEnd"/>
      <w:r w:rsidRPr="007F5977">
        <w:t>, dealing with events outside the body, as in the case of the responses of the cochlea to </w:t>
      </w:r>
      <w:hyperlink r:id="rId12" w:history="1">
        <w:r w:rsidRPr="007F5977">
          <w:rPr>
            <w:rStyle w:val="Hyperlink"/>
            <w:color w:val="auto"/>
            <w:u w:val="none"/>
          </w:rPr>
          <w:t>sound</w:t>
        </w:r>
      </w:hyperlink>
      <w:r w:rsidRPr="007F5977">
        <w:t>. Functionally these organs are closely related to the cerebellum and to the reflex centres of the </w:t>
      </w:r>
      <w:hyperlink r:id="rId13" w:history="1">
        <w:r w:rsidRPr="007F5977">
          <w:rPr>
            <w:rStyle w:val="Hyperlink"/>
            <w:color w:val="auto"/>
            <w:u w:val="none"/>
          </w:rPr>
          <w:t>spinal cord</w:t>
        </w:r>
      </w:hyperlink>
      <w:r w:rsidRPr="007F5977">
        <w:t> and </w:t>
      </w:r>
      <w:hyperlink r:id="rId14" w:history="1">
        <w:r w:rsidRPr="007F5977">
          <w:rPr>
            <w:rStyle w:val="Hyperlink"/>
            <w:color w:val="auto"/>
            <w:u w:val="none"/>
          </w:rPr>
          <w:t>brainstem</w:t>
        </w:r>
      </w:hyperlink>
      <w:r w:rsidRPr="007F5977">
        <w:t xml:space="preserve"> that govern the </w:t>
      </w:r>
      <w:r w:rsidRPr="007F5977">
        <w:t>movements of the eyes, neck, and limbs</w:t>
      </w:r>
    </w:p>
    <w:p w:rsidR="007F5977" w:rsidRPr="007F5977" w:rsidRDefault="007F5977" w:rsidP="007F5977">
      <w:pPr>
        <w:pStyle w:val="NormalWeb"/>
        <w:shd w:val="clear" w:color="auto" w:fill="FFFFFF"/>
      </w:pPr>
      <w:r w:rsidRPr="007F5977">
        <w:t>Because the three </w:t>
      </w:r>
      <w:proofErr w:type="spellStart"/>
      <w:r w:rsidRPr="007F5977">
        <w:fldChar w:fldCharType="begin"/>
      </w:r>
      <w:r w:rsidRPr="007F5977">
        <w:instrText xml:space="preserve"> HYPERLINK "https://www.britannica.com/science/semicircular-canal" </w:instrText>
      </w:r>
      <w:r w:rsidRPr="007F5977">
        <w:fldChar w:fldCharType="separate"/>
      </w:r>
      <w:r w:rsidRPr="007F5977">
        <w:rPr>
          <w:rStyle w:val="Hyperlink"/>
          <w:color w:val="auto"/>
          <w:u w:val="none"/>
        </w:rPr>
        <w:t>semicircular</w:t>
      </w:r>
      <w:proofErr w:type="spellEnd"/>
      <w:r w:rsidRPr="007F5977">
        <w:rPr>
          <w:rStyle w:val="Hyperlink"/>
          <w:color w:val="auto"/>
          <w:u w:val="none"/>
        </w:rPr>
        <w:t xml:space="preserve"> canals</w:t>
      </w:r>
      <w:r w:rsidRPr="007F5977">
        <w:fldChar w:fldCharType="end"/>
      </w:r>
      <w:r w:rsidRPr="007F5977">
        <w:t>—superior, posterior, and horizontal—are positioned at right angles to one another, they are able to detect movements in three-dimensional space. When the head begins to </w:t>
      </w:r>
      <w:hyperlink r:id="rId15" w:history="1">
        <w:r w:rsidRPr="007F5977">
          <w:rPr>
            <w:rStyle w:val="Hyperlink"/>
            <w:color w:val="auto"/>
            <w:u w:val="none"/>
          </w:rPr>
          <w:t>rotate</w:t>
        </w:r>
      </w:hyperlink>
      <w:r w:rsidRPr="007F5977">
        <w:t xml:space="preserve"> in any direction, the inertia of the </w:t>
      </w:r>
      <w:proofErr w:type="spellStart"/>
      <w:r w:rsidRPr="007F5977">
        <w:t>endolymph</w:t>
      </w:r>
      <w:proofErr w:type="spellEnd"/>
      <w:r w:rsidRPr="007F5977">
        <w:t xml:space="preserve"> causes it to lag behind, exerting pressure that deflects the </w:t>
      </w:r>
      <w:proofErr w:type="spellStart"/>
      <w:r w:rsidRPr="007F5977">
        <w:fldChar w:fldCharType="begin"/>
      </w:r>
      <w:r w:rsidRPr="007F5977">
        <w:instrText xml:space="preserve"> HYPERLINK "https://www.britannica.com/science/cupula" </w:instrText>
      </w:r>
      <w:r w:rsidRPr="007F5977">
        <w:fldChar w:fldCharType="separate"/>
      </w:r>
      <w:r w:rsidRPr="007F5977">
        <w:rPr>
          <w:rStyle w:val="Hyperlink"/>
          <w:color w:val="auto"/>
          <w:u w:val="none"/>
        </w:rPr>
        <w:t>cu</w:t>
      </w:r>
      <w:bookmarkStart w:id="0" w:name="_GoBack"/>
      <w:bookmarkEnd w:id="0"/>
      <w:r w:rsidRPr="007F5977">
        <w:rPr>
          <w:rStyle w:val="Hyperlink"/>
          <w:color w:val="auto"/>
          <w:u w:val="none"/>
        </w:rPr>
        <w:t>pula</w:t>
      </w:r>
      <w:proofErr w:type="spellEnd"/>
      <w:r w:rsidRPr="007F5977">
        <w:fldChar w:fldCharType="end"/>
      </w:r>
      <w:r w:rsidRPr="007F5977">
        <w:t> in the opposite direction. This deflection stimulates the </w:t>
      </w:r>
      <w:hyperlink r:id="rId16" w:history="1">
        <w:r w:rsidRPr="007F5977">
          <w:rPr>
            <w:rStyle w:val="Hyperlink"/>
            <w:color w:val="auto"/>
            <w:u w:val="none"/>
          </w:rPr>
          <w:t>hair cells</w:t>
        </w:r>
      </w:hyperlink>
      <w:r w:rsidRPr="007F5977">
        <w:t xml:space="preserve"> by bending their </w:t>
      </w:r>
      <w:proofErr w:type="spellStart"/>
      <w:r w:rsidRPr="007F5977">
        <w:t>stereocilia</w:t>
      </w:r>
      <w:proofErr w:type="spellEnd"/>
      <w:r w:rsidRPr="007F5977">
        <w:t xml:space="preserve"> in the opposite direction.</w:t>
      </w:r>
    </w:p>
    <w:p w:rsidR="007F5977" w:rsidRPr="007F5977" w:rsidRDefault="007F5977" w:rsidP="007F5977">
      <w:pPr>
        <w:pStyle w:val="NormalWeb"/>
      </w:pPr>
      <w:r w:rsidRPr="007F5977">
        <w:t>The gravity receptors that respond to linear acceleration of the head are the maculae of the </w:t>
      </w:r>
      <w:hyperlink r:id="rId17" w:history="1">
        <w:r w:rsidRPr="007F5977">
          <w:rPr>
            <w:rStyle w:val="Hyperlink"/>
            <w:color w:val="auto"/>
            <w:u w:val="none"/>
          </w:rPr>
          <w:t>utricle</w:t>
        </w:r>
      </w:hyperlink>
      <w:r w:rsidRPr="007F5977">
        <w:t> and </w:t>
      </w:r>
      <w:proofErr w:type="spellStart"/>
      <w:r w:rsidRPr="007F5977">
        <w:fldChar w:fldCharType="begin"/>
      </w:r>
      <w:r w:rsidRPr="007F5977">
        <w:instrText xml:space="preserve"> HYPERLINK "https://www.britannica.com/science/saccule" </w:instrText>
      </w:r>
      <w:r w:rsidRPr="007F5977">
        <w:fldChar w:fldCharType="separate"/>
      </w:r>
      <w:r w:rsidRPr="007F5977">
        <w:rPr>
          <w:rStyle w:val="Hyperlink"/>
          <w:color w:val="auto"/>
          <w:u w:val="none"/>
        </w:rPr>
        <w:t>saccule</w:t>
      </w:r>
      <w:proofErr w:type="spellEnd"/>
      <w:r w:rsidRPr="007F5977">
        <w:fldChar w:fldCharType="end"/>
      </w:r>
      <w:r w:rsidRPr="007F5977">
        <w:t>. The left and right </w:t>
      </w:r>
      <w:proofErr w:type="spellStart"/>
      <w:r w:rsidRPr="007F5977">
        <w:fldChar w:fldCharType="begin"/>
      </w:r>
      <w:r w:rsidRPr="007F5977">
        <w:instrText xml:space="preserve"> HYPERLINK "https://www.britannica.com/science/macula-utriculi" </w:instrText>
      </w:r>
      <w:r w:rsidRPr="007F5977">
        <w:fldChar w:fldCharType="separate"/>
      </w:r>
      <w:r w:rsidRPr="007F5977">
        <w:rPr>
          <w:rStyle w:val="Hyperlink"/>
          <w:color w:val="auto"/>
          <w:u w:val="none"/>
        </w:rPr>
        <w:t>utricular</w:t>
      </w:r>
      <w:proofErr w:type="spellEnd"/>
      <w:r w:rsidRPr="007F5977">
        <w:rPr>
          <w:rStyle w:val="Hyperlink"/>
          <w:color w:val="auto"/>
          <w:u w:val="none"/>
        </w:rPr>
        <w:t xml:space="preserve"> maculae</w:t>
      </w:r>
      <w:r w:rsidRPr="007F5977">
        <w:fldChar w:fldCharType="end"/>
      </w:r>
      <w:r w:rsidRPr="007F5977">
        <w:t> are in the same, approximately horizontal, plane and, because of this position, are more useful in providing information about the position of the head and its side-to-side tilts when a person is in an upright position. The </w:t>
      </w:r>
      <w:proofErr w:type="spellStart"/>
      <w:r w:rsidRPr="007F5977">
        <w:fldChar w:fldCharType="begin"/>
      </w:r>
      <w:r w:rsidRPr="007F5977">
        <w:instrText xml:space="preserve"> HYPERLINK "https://www.britannica.com/science/macula-sacculi" </w:instrText>
      </w:r>
      <w:r w:rsidRPr="007F5977">
        <w:fldChar w:fldCharType="separate"/>
      </w:r>
      <w:r w:rsidRPr="007F5977">
        <w:rPr>
          <w:rStyle w:val="Hyperlink"/>
          <w:color w:val="auto"/>
          <w:u w:val="none"/>
        </w:rPr>
        <w:t>saccular</w:t>
      </w:r>
      <w:proofErr w:type="spellEnd"/>
      <w:r w:rsidRPr="007F5977">
        <w:rPr>
          <w:rStyle w:val="Hyperlink"/>
          <w:color w:val="auto"/>
          <w:u w:val="none"/>
        </w:rPr>
        <w:t xml:space="preserve"> maculae</w:t>
      </w:r>
      <w:r w:rsidRPr="007F5977">
        <w:fldChar w:fldCharType="end"/>
      </w:r>
      <w:r w:rsidRPr="007F5977">
        <w:t> are in parallel vertical planes and probably respond more to forward and backward tilts of the head.</w:t>
      </w:r>
    </w:p>
    <w:p w:rsidR="007F5977" w:rsidRPr="007F5977" w:rsidRDefault="007F5977" w:rsidP="007F5977">
      <w:pPr>
        <w:spacing w:line="240" w:lineRule="auto"/>
        <w:rPr>
          <w:rFonts w:ascii="Times New Roman" w:eastAsia="Times New Roman" w:hAnsi="Times New Roman" w:cs="Times New Roman"/>
          <w:sz w:val="24"/>
          <w:szCs w:val="24"/>
          <w:shd w:val="clear" w:color="auto" w:fill="FFFFFF"/>
        </w:rPr>
      </w:pPr>
      <w:r w:rsidRPr="007F5977">
        <w:rPr>
          <w:rFonts w:ascii="Times New Roman" w:eastAsia="Times New Roman" w:hAnsi="Times New Roman" w:cs="Times New Roman"/>
          <w:sz w:val="24"/>
          <w:szCs w:val="24"/>
          <w:shd w:val="clear" w:color="auto" w:fill="FFFFFF"/>
        </w:rPr>
        <w:t>These sensory organs, particularly the utricle, have an important role in the righting </w:t>
      </w:r>
      <w:hyperlink r:id="rId18" w:history="1">
        <w:r w:rsidRPr="007F5977">
          <w:rPr>
            <w:rStyle w:val="Hyperlink"/>
            <w:rFonts w:ascii="Times New Roman" w:eastAsia="Times New Roman" w:hAnsi="Times New Roman" w:cs="Times New Roman"/>
            <w:color w:val="auto"/>
            <w:sz w:val="24"/>
            <w:szCs w:val="24"/>
            <w:u w:val="none"/>
            <w:shd w:val="clear" w:color="auto" w:fill="FFFFFF"/>
          </w:rPr>
          <w:t>reflexes</w:t>
        </w:r>
      </w:hyperlink>
      <w:r w:rsidRPr="007F5977">
        <w:rPr>
          <w:rFonts w:ascii="Times New Roman" w:eastAsia="Times New Roman" w:hAnsi="Times New Roman" w:cs="Times New Roman"/>
          <w:sz w:val="24"/>
          <w:szCs w:val="24"/>
          <w:shd w:val="clear" w:color="auto" w:fill="FFFFFF"/>
        </w:rPr>
        <w:t> and in reflex control of the muscles of the </w:t>
      </w:r>
      <w:hyperlink r:id="rId19" w:history="1">
        <w:r w:rsidRPr="007F5977">
          <w:rPr>
            <w:rStyle w:val="Hyperlink"/>
            <w:rFonts w:ascii="Times New Roman" w:eastAsia="Times New Roman" w:hAnsi="Times New Roman" w:cs="Times New Roman"/>
            <w:color w:val="auto"/>
            <w:sz w:val="24"/>
            <w:szCs w:val="24"/>
            <w:u w:val="none"/>
            <w:shd w:val="clear" w:color="auto" w:fill="FFFFFF"/>
          </w:rPr>
          <w:t>legs</w:t>
        </w:r>
      </w:hyperlink>
      <w:r w:rsidRPr="007F5977">
        <w:rPr>
          <w:rFonts w:ascii="Times New Roman" w:eastAsia="Times New Roman" w:hAnsi="Times New Roman" w:cs="Times New Roman"/>
          <w:sz w:val="24"/>
          <w:szCs w:val="24"/>
          <w:shd w:val="clear" w:color="auto" w:fill="FFFFFF"/>
        </w:rPr>
        <w:t>, trunk, and </w:t>
      </w:r>
      <w:hyperlink r:id="rId20" w:history="1">
        <w:r w:rsidRPr="007F5977">
          <w:rPr>
            <w:rStyle w:val="Hyperlink"/>
            <w:rFonts w:ascii="Times New Roman" w:eastAsia="Times New Roman" w:hAnsi="Times New Roman" w:cs="Times New Roman"/>
            <w:color w:val="auto"/>
            <w:sz w:val="24"/>
            <w:szCs w:val="24"/>
            <w:u w:val="none"/>
            <w:shd w:val="clear" w:color="auto" w:fill="FFFFFF"/>
          </w:rPr>
          <w:t>neck</w:t>
        </w:r>
      </w:hyperlink>
      <w:r w:rsidRPr="007F5977">
        <w:rPr>
          <w:rFonts w:ascii="Times New Roman" w:eastAsia="Times New Roman" w:hAnsi="Times New Roman" w:cs="Times New Roman"/>
          <w:sz w:val="24"/>
          <w:szCs w:val="24"/>
          <w:shd w:val="clear" w:color="auto" w:fill="FFFFFF"/>
        </w:rPr>
        <w:t> that keep the body in an upright position.</w:t>
      </w:r>
    </w:p>
    <w:p w:rsidR="007F5977" w:rsidRPr="007F5977" w:rsidRDefault="007F5977" w:rsidP="007F5977">
      <w:pPr>
        <w:pStyle w:val="NormalWeb"/>
        <w:shd w:val="clear" w:color="auto" w:fill="FFFFFF"/>
      </w:pPr>
      <w:r w:rsidRPr="007F5977">
        <w:t>The relation between the vestibular apparatus of the two ears is </w:t>
      </w:r>
      <w:hyperlink r:id="rId21" w:history="1">
        <w:r w:rsidRPr="007F5977">
          <w:rPr>
            <w:rStyle w:val="Hyperlink"/>
            <w:color w:val="auto"/>
            <w:u w:val="none"/>
          </w:rPr>
          <w:t>reciprocal</w:t>
        </w:r>
      </w:hyperlink>
      <w:r w:rsidRPr="007F5977">
        <w:t>.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w:t>
      </w:r>
      <w:hyperlink r:id="rId22" w:history="1">
        <w:r w:rsidRPr="007F5977">
          <w:rPr>
            <w:rStyle w:val="Hyperlink"/>
            <w:color w:val="auto"/>
            <w:u w:val="none"/>
          </w:rPr>
          <w:t>vertigo</w:t>
        </w:r>
      </w:hyperlink>
      <w:r w:rsidRPr="007F5977">
        <w:t>) and rhythmical, jerky movements of the eyes (</w:t>
      </w:r>
      <w:proofErr w:type="spellStart"/>
      <w:r w:rsidRPr="007F5977">
        <w:fldChar w:fldCharType="begin"/>
      </w:r>
      <w:r w:rsidRPr="007F5977">
        <w:instrText xml:space="preserve"> HYPERLINK "https://www.britannica.com/science/nystagmus" </w:instrText>
      </w:r>
      <w:r w:rsidRPr="007F5977">
        <w:fldChar w:fldCharType="separate"/>
      </w:r>
      <w:r w:rsidRPr="007F5977">
        <w:rPr>
          <w:rStyle w:val="Hyperlink"/>
          <w:color w:val="auto"/>
          <w:u w:val="none"/>
        </w:rPr>
        <w:t>nystagmus</w:t>
      </w:r>
      <w:proofErr w:type="spellEnd"/>
      <w:r w:rsidRPr="007F5977">
        <w:fldChar w:fldCharType="end"/>
      </w:r>
      <w:r w:rsidRPr="007F5977">
        <w:t xml:space="preserve">), both toward the uninjured side. When the vestibular hair cells of both inner ears are injured or destroyed, as </w:t>
      </w:r>
      <w:r w:rsidRPr="007F5977">
        <w:lastRenderedPageBreak/>
        <w:t>can occur during </w:t>
      </w:r>
      <w:hyperlink r:id="rId23" w:history="1">
        <w:r w:rsidRPr="007F5977">
          <w:rPr>
            <w:rStyle w:val="Hyperlink"/>
            <w:color w:val="auto"/>
            <w:u w:val="none"/>
          </w:rPr>
          <w:t>treatment</w:t>
        </w:r>
      </w:hyperlink>
      <w:r w:rsidRPr="007F5977">
        <w:t> with the </w:t>
      </w:r>
      <w:hyperlink r:id="rId24" w:history="1">
        <w:r w:rsidRPr="007F5977">
          <w:rPr>
            <w:rStyle w:val="Hyperlink"/>
            <w:color w:val="auto"/>
            <w:u w:val="none"/>
          </w:rPr>
          <w:t>antibiotics</w:t>
        </w:r>
      </w:hyperlink>
      <w:r w:rsidRPr="007F5977">
        <w:t> gentamicin or </w:t>
      </w:r>
      <w:hyperlink r:id="rId25" w:history="1">
        <w:r w:rsidRPr="007F5977">
          <w:rPr>
            <w:rStyle w:val="Hyperlink"/>
            <w:color w:val="auto"/>
            <w:u w:val="none"/>
          </w:rPr>
          <w:t>streptomycin</w:t>
        </w:r>
      </w:hyperlink>
      <w:r w:rsidRPr="007F5977">
        <w:t>, there may be a serious disturbance of posture and gait (</w:t>
      </w:r>
      <w:hyperlink r:id="rId26" w:history="1">
        <w:r w:rsidRPr="007F5977">
          <w:rPr>
            <w:rStyle w:val="Hyperlink"/>
            <w:color w:val="auto"/>
            <w:u w:val="none"/>
          </w:rPr>
          <w:t>ataxia</w:t>
        </w:r>
      </w:hyperlink>
      <w:r w:rsidRPr="007F5977">
        <w:t xml:space="preserve">) as well as severe vertigo and disorientation. In younger persons the disturbance tends to subside as reliance is placed on vision and on proprioceptive impulses from the muscles and joints as well as on cutaneous impulses from the soles of the feet to compensate for the loss of information from the </w:t>
      </w:r>
      <w:proofErr w:type="spellStart"/>
      <w:r w:rsidRPr="007F5977">
        <w:t>semicircular</w:t>
      </w:r>
      <w:proofErr w:type="spellEnd"/>
      <w:r w:rsidRPr="007F5977">
        <w:t xml:space="preserve"> canals. Recovery of some injured hair cells may occur.</w:t>
      </w:r>
    </w:p>
    <w:p w:rsidR="007F5977" w:rsidRPr="007F5977" w:rsidRDefault="007F5977" w:rsidP="007F5977">
      <w:pPr>
        <w:spacing w:line="240" w:lineRule="auto"/>
        <w:rPr>
          <w:rFonts w:ascii="Times New Roman" w:hAnsi="Times New Roman" w:cs="Times New Roman"/>
          <w:sz w:val="24"/>
          <w:szCs w:val="24"/>
        </w:rPr>
      </w:pPr>
    </w:p>
    <w:p w:rsidR="00641BC8" w:rsidRPr="007F5977" w:rsidRDefault="00641BC8" w:rsidP="007F5977">
      <w:pPr>
        <w:spacing w:line="240" w:lineRule="auto"/>
        <w:rPr>
          <w:rFonts w:ascii="Times New Roman" w:hAnsi="Times New Roman" w:cs="Times New Roman"/>
          <w:sz w:val="24"/>
          <w:szCs w:val="24"/>
        </w:rPr>
      </w:pPr>
    </w:p>
    <w:sectPr w:rsidR="00641BC8" w:rsidRPr="007F5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E9"/>
    <w:rsid w:val="00044C44"/>
    <w:rsid w:val="00641BC8"/>
    <w:rsid w:val="007B76E9"/>
    <w:rsid w:val="007F5977"/>
    <w:rsid w:val="0092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F5977"/>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F5977"/>
    <w:rPr>
      <w:rFonts w:asciiTheme="majorHAnsi" w:eastAsiaTheme="majorEastAsia" w:hAnsiTheme="majorHAnsi" w:cstheme="majorBidi"/>
      <w:color w:val="365F91" w:themeColor="accent1" w:themeShade="BF"/>
      <w:sz w:val="26"/>
      <w:szCs w:val="26"/>
      <w:lang w:val="en-GB" w:eastAsia="en-GB"/>
    </w:rPr>
  </w:style>
  <w:style w:type="character" w:styleId="Hyperlink">
    <w:name w:val="Hyperlink"/>
    <w:basedOn w:val="DefaultParagraphFont"/>
    <w:uiPriority w:val="99"/>
    <w:semiHidden/>
    <w:unhideWhenUsed/>
    <w:rsid w:val="007F5977"/>
    <w:rPr>
      <w:color w:val="0000FF"/>
      <w:u w:val="single"/>
    </w:rPr>
  </w:style>
  <w:style w:type="paragraph" w:styleId="NormalWeb">
    <w:name w:val="Normal (Web)"/>
    <w:basedOn w:val="Normal"/>
    <w:uiPriority w:val="99"/>
    <w:unhideWhenUsed/>
    <w:rsid w:val="007F5977"/>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F5977"/>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F5977"/>
    <w:rPr>
      <w:rFonts w:asciiTheme="majorHAnsi" w:eastAsiaTheme="majorEastAsia" w:hAnsiTheme="majorHAnsi" w:cstheme="majorBidi"/>
      <w:color w:val="365F91" w:themeColor="accent1" w:themeShade="BF"/>
      <w:sz w:val="26"/>
      <w:szCs w:val="26"/>
      <w:lang w:val="en-GB" w:eastAsia="en-GB"/>
    </w:rPr>
  </w:style>
  <w:style w:type="character" w:styleId="Hyperlink">
    <w:name w:val="Hyperlink"/>
    <w:basedOn w:val="DefaultParagraphFont"/>
    <w:uiPriority w:val="99"/>
    <w:semiHidden/>
    <w:unhideWhenUsed/>
    <w:rsid w:val="007F5977"/>
    <w:rPr>
      <w:color w:val="0000FF"/>
      <w:u w:val="single"/>
    </w:rPr>
  </w:style>
  <w:style w:type="paragraph" w:styleId="NormalWeb">
    <w:name w:val="Normal (Web)"/>
    <w:basedOn w:val="Normal"/>
    <w:uiPriority w:val="99"/>
    <w:unhideWhenUsed/>
    <w:rsid w:val="007F5977"/>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94910">
      <w:bodyDiv w:val="1"/>
      <w:marLeft w:val="0"/>
      <w:marRight w:val="0"/>
      <w:marTop w:val="0"/>
      <w:marBottom w:val="0"/>
      <w:divBdr>
        <w:top w:val="none" w:sz="0" w:space="0" w:color="auto"/>
        <w:left w:val="none" w:sz="0" w:space="0" w:color="auto"/>
        <w:bottom w:val="none" w:sz="0" w:space="0" w:color="auto"/>
        <w:right w:val="none" w:sz="0" w:space="0" w:color="auto"/>
      </w:divBdr>
    </w:div>
    <w:div w:id="42769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head-anatomy" TargetMode="External"/><Relationship Id="rId13" Type="http://schemas.openxmlformats.org/officeDocument/2006/relationships/hyperlink" Target="https://www.britannica.com/science/spinal-cord" TargetMode="External"/><Relationship Id="rId18" Type="http://schemas.openxmlformats.org/officeDocument/2006/relationships/hyperlink" Target="https://www.britannica.com/science/reflex-physiology" TargetMode="External"/><Relationship Id="rId26" Type="http://schemas.openxmlformats.org/officeDocument/2006/relationships/hyperlink" Target="https://www.britannica.com/science/ataxia" TargetMode="External"/><Relationship Id="rId3" Type="http://schemas.openxmlformats.org/officeDocument/2006/relationships/settings" Target="settings.xml"/><Relationship Id="rId21" Type="http://schemas.openxmlformats.org/officeDocument/2006/relationships/hyperlink" Target="https://www.merriam-webster.com/dictionary/reciprocal" TargetMode="External"/><Relationship Id="rId7" Type="http://schemas.openxmlformats.org/officeDocument/2006/relationships/hyperlink" Target="https://www.britannica.com/science/proprioception" TargetMode="External"/><Relationship Id="rId12" Type="http://schemas.openxmlformats.org/officeDocument/2006/relationships/hyperlink" Target="https://www.britannica.com/science/sound-physics" TargetMode="External"/><Relationship Id="rId17" Type="http://schemas.openxmlformats.org/officeDocument/2006/relationships/hyperlink" Target="https://www.britannica.com/science/utricle" TargetMode="External"/><Relationship Id="rId25" Type="http://schemas.openxmlformats.org/officeDocument/2006/relationships/hyperlink" Target="https://www.britannica.com/science/streptomycin" TargetMode="External"/><Relationship Id="rId2" Type="http://schemas.microsoft.com/office/2007/relationships/stylesWithEffects" Target="stylesWithEffects.xml"/><Relationship Id="rId16" Type="http://schemas.openxmlformats.org/officeDocument/2006/relationships/hyperlink" Target="https://www.britannica.com/science/hair-cell" TargetMode="External"/><Relationship Id="rId20" Type="http://schemas.openxmlformats.org/officeDocument/2006/relationships/hyperlink" Target="https://www.britannica.com/science/neck-anatomy" TargetMode="External"/><Relationship Id="rId1" Type="http://schemas.openxmlformats.org/officeDocument/2006/relationships/styles" Target="styles.xml"/><Relationship Id="rId6" Type="http://schemas.openxmlformats.org/officeDocument/2006/relationships/hyperlink" Target="https://www.britannica.com/science/inner-ear" TargetMode="External"/><Relationship Id="rId11" Type="http://schemas.openxmlformats.org/officeDocument/2006/relationships/hyperlink" Target="https://www.britannica.com/science/vestibule-ear" TargetMode="External"/><Relationship Id="rId24" Type="http://schemas.openxmlformats.org/officeDocument/2006/relationships/hyperlink" Target="https://www.britannica.com/science/antibiotic" TargetMode="External"/><Relationship Id="rId5" Type="http://schemas.openxmlformats.org/officeDocument/2006/relationships/hyperlink" Target="https://www.britannica.com/science/vestibular-system" TargetMode="External"/><Relationship Id="rId15" Type="http://schemas.openxmlformats.org/officeDocument/2006/relationships/hyperlink" Target="https://www.britannica.com/science/rotation-physics" TargetMode="External"/><Relationship Id="rId23" Type="http://schemas.openxmlformats.org/officeDocument/2006/relationships/hyperlink" Target="https://www.britannica.com/science/ototoxic-drug" TargetMode="External"/><Relationship Id="rId28" Type="http://schemas.openxmlformats.org/officeDocument/2006/relationships/theme" Target="theme/theme1.xml"/><Relationship Id="rId10" Type="http://schemas.openxmlformats.org/officeDocument/2006/relationships/hyperlink" Target="https://www.britannica.com/science/utricle" TargetMode="External"/><Relationship Id="rId19" Type="http://schemas.openxmlformats.org/officeDocument/2006/relationships/hyperlink" Target="https://www.britannica.com/science/leg-anatomy" TargetMode="External"/><Relationship Id="rId4" Type="http://schemas.openxmlformats.org/officeDocument/2006/relationships/webSettings" Target="webSettings.xml"/><Relationship Id="rId9" Type="http://schemas.openxmlformats.org/officeDocument/2006/relationships/hyperlink" Target="https://www.britannica.com/science/rotation-physics" TargetMode="External"/><Relationship Id="rId14" Type="http://schemas.openxmlformats.org/officeDocument/2006/relationships/hyperlink" Target="https://www.britannica.com/science/brainstem" TargetMode="External"/><Relationship Id="rId22" Type="http://schemas.openxmlformats.org/officeDocument/2006/relationships/hyperlink" Target="https://www.britannica.com/science/vertig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Akeredolu</dc:creator>
  <cp:lastModifiedBy>Akeredolu</cp:lastModifiedBy>
  <cp:revision>3</cp:revision>
  <dcterms:created xsi:type="dcterms:W3CDTF">2020-06-06T22:39:00Z</dcterms:created>
  <dcterms:modified xsi:type="dcterms:W3CDTF">2020-06-06T23:07:00Z</dcterms:modified>
</cp:coreProperties>
</file>