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D2" w:rsidRDefault="007253D2" w:rsidP="007253D2">
      <w:r>
        <w:t>NAME: AGWANIRU ROSEMARY</w:t>
      </w:r>
    </w:p>
    <w:p w:rsidR="007253D2" w:rsidRDefault="007253D2" w:rsidP="007253D2">
      <w:r>
        <w:t>MATRIC NO: 17/ENG01/003</w:t>
      </w:r>
    </w:p>
    <w:p w:rsidR="007253D2" w:rsidRDefault="007253D2" w:rsidP="007253D2">
      <w:r>
        <w:t>DEPARTMENT: CHEMICAL ENGINEERING</w:t>
      </w:r>
    </w:p>
    <w:p w:rsidR="007253D2" w:rsidRDefault="007253D2" w:rsidP="007253D2">
      <w:r>
        <w:t>COURSE CODE: ENG 384</w:t>
      </w:r>
    </w:p>
    <w:p w:rsidR="00DB1D50" w:rsidRDefault="00DB1D50"/>
    <w:p w:rsidR="007253D2" w:rsidRDefault="007253D2">
      <w:r>
        <w:t>QUESTION 2:</w:t>
      </w:r>
    </w:p>
    <w:p w:rsidR="007A6118" w:rsidRPr="007A6118" w:rsidRDefault="007253D2">
      <w:pPr>
        <w:rPr>
          <w:rFonts w:asciiTheme="majorHAnsi" w:hAnsiTheme="majorHAnsi" w:cstheme="majorHAnsi"/>
          <w:sz w:val="24"/>
          <w:szCs w:val="21"/>
          <w:shd w:val="clear" w:color="auto" w:fill="FFFFFF"/>
        </w:rPr>
      </w:pPr>
      <w:r w:rsidRPr="007253D2">
        <w:rPr>
          <w:rStyle w:val="e24kjd"/>
          <w:rFonts w:asciiTheme="majorHAnsi" w:hAnsiTheme="majorHAnsi" w:cstheme="majorHAnsi"/>
          <w:b/>
          <w:bCs/>
          <w:sz w:val="24"/>
          <w:shd w:val="clear" w:color="auto" w:fill="FFFFFF"/>
        </w:rPr>
        <w:t>legal system</w:t>
      </w:r>
      <w:r w:rsidRPr="007253D2">
        <w:rPr>
          <w:rStyle w:val="e24kjd"/>
          <w:rFonts w:asciiTheme="majorHAnsi" w:hAnsiTheme="majorHAnsi" w:cstheme="majorHAnsi"/>
          <w:sz w:val="24"/>
          <w:shd w:val="clear" w:color="auto" w:fill="FFFFFF"/>
        </w:rPr>
        <w:t> can be defined as the principles or procedures for the classification of laws, matters or procedure relating to them</w:t>
      </w:r>
      <w:r w:rsidR="007A6118">
        <w:rPr>
          <w:rStyle w:val="e24kjd"/>
          <w:rFonts w:ascii="Arial" w:hAnsi="Arial" w:cs="Arial"/>
          <w:color w:val="222222"/>
          <w:shd w:val="clear" w:color="auto" w:fill="FFFFFF"/>
        </w:rPr>
        <w:t xml:space="preserve">. </w:t>
      </w:r>
      <w:r w:rsidR="007A6118" w:rsidRPr="007A6118">
        <w:rPr>
          <w:rStyle w:val="e24kjd"/>
          <w:rFonts w:asciiTheme="majorHAnsi" w:hAnsiTheme="majorHAnsi" w:cstheme="majorHAnsi"/>
          <w:color w:val="222222"/>
          <w:sz w:val="24"/>
          <w:shd w:val="clear" w:color="auto" w:fill="FFFFFF"/>
        </w:rPr>
        <w:t>Nigeria is common law country</w:t>
      </w:r>
      <w:r w:rsidR="007A6118">
        <w:rPr>
          <w:rStyle w:val="e24kjd"/>
          <w:rFonts w:ascii="Arial" w:hAnsi="Arial" w:cs="Arial"/>
          <w:color w:val="222222"/>
          <w:sz w:val="24"/>
          <w:shd w:val="clear" w:color="auto" w:fill="FFFFFF"/>
        </w:rPr>
        <w:t xml:space="preserve">, </w:t>
      </w:r>
      <w:r w:rsidR="007A6118" w:rsidRPr="007A6118">
        <w:rPr>
          <w:rStyle w:val="e24kjd"/>
          <w:rFonts w:asciiTheme="majorHAnsi" w:hAnsiTheme="majorHAnsi" w:cstheme="majorHAnsi"/>
          <w:color w:val="222222"/>
          <w:sz w:val="24"/>
          <w:shd w:val="clear" w:color="auto" w:fill="FFFFFF"/>
        </w:rPr>
        <w:t xml:space="preserve">common law </w:t>
      </w:r>
      <w:r w:rsidR="007A6118" w:rsidRPr="007A6118">
        <w:rPr>
          <w:rFonts w:asciiTheme="majorHAnsi" w:hAnsiTheme="majorHAnsi" w:cstheme="majorHAnsi"/>
          <w:color w:val="202122"/>
          <w:sz w:val="20"/>
          <w:szCs w:val="21"/>
          <w:shd w:val="clear" w:color="auto" w:fill="FFFFFF"/>
        </w:rPr>
        <w:t> </w:t>
      </w:r>
      <w:r w:rsidR="007A6118" w:rsidRPr="007A6118">
        <w:rPr>
          <w:rFonts w:asciiTheme="majorHAnsi" w:hAnsiTheme="majorHAnsi" w:cstheme="majorHAnsi"/>
          <w:color w:val="202122"/>
          <w:sz w:val="24"/>
          <w:szCs w:val="21"/>
          <w:shd w:val="clear" w:color="auto" w:fill="FFFFFF"/>
        </w:rPr>
        <w:t xml:space="preserve">is the body of law derived from judicial decisions of courts and </w:t>
      </w:r>
      <w:r w:rsidR="007A6118" w:rsidRPr="007A6118">
        <w:rPr>
          <w:rFonts w:asciiTheme="majorHAnsi" w:hAnsiTheme="majorHAnsi" w:cstheme="majorHAnsi"/>
          <w:sz w:val="24"/>
          <w:szCs w:val="21"/>
          <w:shd w:val="clear" w:color="auto" w:fill="FFFFFF"/>
        </w:rPr>
        <w:t>similar </w:t>
      </w:r>
      <w:hyperlink r:id="rId4" w:tooltip="Tribunals" w:history="1">
        <w:r w:rsidR="007A6118" w:rsidRPr="007A6118">
          <w:rPr>
            <w:rStyle w:val="Hyperlink"/>
            <w:rFonts w:asciiTheme="majorHAnsi" w:hAnsiTheme="majorHAnsi" w:cstheme="majorHAnsi"/>
            <w:color w:val="auto"/>
            <w:sz w:val="24"/>
            <w:szCs w:val="21"/>
            <w:shd w:val="clear" w:color="auto" w:fill="FFFFFF"/>
          </w:rPr>
          <w:t>tribunals</w:t>
        </w:r>
      </w:hyperlink>
      <w:r w:rsidR="007A6118" w:rsidRPr="007A6118">
        <w:rPr>
          <w:rFonts w:asciiTheme="majorHAnsi" w:hAnsiTheme="majorHAnsi" w:cstheme="majorHAnsi"/>
          <w:sz w:val="24"/>
          <w:szCs w:val="21"/>
          <w:shd w:val="clear" w:color="auto" w:fill="FFFFFF"/>
        </w:rPr>
        <w:t xml:space="preserve">. </w:t>
      </w:r>
    </w:p>
    <w:p w:rsidR="007A6118" w:rsidRPr="007A6118" w:rsidRDefault="007A6118">
      <w:pPr>
        <w:rPr>
          <w:rFonts w:asciiTheme="majorHAnsi" w:hAnsiTheme="majorHAnsi" w:cstheme="majorHAnsi"/>
          <w:sz w:val="24"/>
          <w:szCs w:val="21"/>
          <w:shd w:val="clear" w:color="auto" w:fill="FFFFFF"/>
        </w:rPr>
      </w:pPr>
      <w:r w:rsidRPr="007A6118">
        <w:rPr>
          <w:rFonts w:asciiTheme="majorHAnsi" w:hAnsiTheme="majorHAnsi" w:cstheme="majorHAnsi"/>
          <w:sz w:val="24"/>
          <w:szCs w:val="21"/>
          <w:shd w:val="clear" w:color="auto" w:fill="FFFFFF"/>
        </w:rPr>
        <w:t>The defining characteristic of “common law” is that it arises as </w:t>
      </w:r>
      <w:hyperlink r:id="rId5" w:tooltip="Precedent" w:history="1">
        <w:r w:rsidRPr="007A6118">
          <w:rPr>
            <w:rStyle w:val="Hyperlink"/>
            <w:rFonts w:asciiTheme="majorHAnsi" w:hAnsiTheme="majorHAnsi" w:cstheme="majorHAnsi"/>
            <w:color w:val="auto"/>
            <w:sz w:val="24"/>
            <w:szCs w:val="21"/>
            <w:shd w:val="clear" w:color="auto" w:fill="FFFFFF"/>
          </w:rPr>
          <w:t>precedent</w:t>
        </w:r>
      </w:hyperlink>
      <w:r w:rsidRPr="007A6118">
        <w:rPr>
          <w:rFonts w:asciiTheme="majorHAnsi" w:hAnsiTheme="majorHAnsi" w:cstheme="majorHAnsi"/>
          <w:sz w:val="24"/>
          <w:szCs w:val="21"/>
          <w:shd w:val="clear" w:color="auto" w:fill="FFFFFF"/>
        </w:rPr>
        <w:t>. In cases where the parties disagree on what the law is, a common law court looks to past precedential decisions of relevant courts, and synthesizes the principles of those past cases as applicable to the current facts. If a similar dispute has been resolved in the past, the court is usually bound to follow the reasoning used in the prior decision (a principle known as </w:t>
      </w:r>
      <w:hyperlink r:id="rId6" w:tooltip="Stare decisis" w:history="1">
        <w:r w:rsidRPr="007A6118">
          <w:rPr>
            <w:rStyle w:val="Hyperlink"/>
            <w:rFonts w:asciiTheme="majorHAnsi" w:hAnsiTheme="majorHAnsi" w:cstheme="majorHAnsi"/>
            <w:i/>
            <w:iCs/>
            <w:color w:val="auto"/>
            <w:sz w:val="24"/>
            <w:szCs w:val="21"/>
            <w:shd w:val="clear" w:color="auto" w:fill="FFFFFF"/>
          </w:rPr>
          <w:t>stare decisis</w:t>
        </w:r>
      </w:hyperlink>
      <w:r w:rsidRPr="007A6118">
        <w:rPr>
          <w:rFonts w:asciiTheme="majorHAnsi" w:hAnsiTheme="majorHAnsi" w:cstheme="majorHAnsi"/>
          <w:sz w:val="24"/>
          <w:szCs w:val="21"/>
          <w:shd w:val="clear" w:color="auto" w:fill="FFFFFF"/>
        </w:rPr>
        <w:t>). If, however, the court finds that the current dispute is fundamentally distinct from all previous cases (called a "</w:t>
      </w:r>
      <w:hyperlink r:id="rId7" w:tooltip="Case of first impression" w:history="1">
        <w:r w:rsidRPr="007A6118">
          <w:rPr>
            <w:rStyle w:val="Hyperlink"/>
            <w:rFonts w:asciiTheme="majorHAnsi" w:hAnsiTheme="majorHAnsi" w:cstheme="majorHAnsi"/>
            <w:color w:val="auto"/>
            <w:sz w:val="24"/>
            <w:szCs w:val="21"/>
            <w:shd w:val="clear" w:color="auto" w:fill="FFFFFF"/>
          </w:rPr>
          <w:t>matter of first impression</w:t>
        </w:r>
      </w:hyperlink>
      <w:r w:rsidRPr="007A6118">
        <w:rPr>
          <w:rFonts w:asciiTheme="majorHAnsi" w:hAnsiTheme="majorHAnsi" w:cstheme="majorHAnsi"/>
          <w:sz w:val="24"/>
          <w:szCs w:val="21"/>
          <w:shd w:val="clear" w:color="auto" w:fill="FFFFFF"/>
        </w:rPr>
        <w:t>"), and </w:t>
      </w:r>
      <w:hyperlink r:id="rId8" w:tooltip="Statute" w:history="1">
        <w:r w:rsidRPr="007A6118">
          <w:rPr>
            <w:rStyle w:val="Hyperlink"/>
            <w:rFonts w:asciiTheme="majorHAnsi" w:hAnsiTheme="majorHAnsi" w:cstheme="majorHAnsi"/>
            <w:color w:val="auto"/>
            <w:sz w:val="24"/>
            <w:szCs w:val="21"/>
            <w:shd w:val="clear" w:color="auto" w:fill="FFFFFF"/>
          </w:rPr>
          <w:t>legislative statutes</w:t>
        </w:r>
      </w:hyperlink>
      <w:r w:rsidRPr="007A6118">
        <w:rPr>
          <w:rFonts w:asciiTheme="majorHAnsi" w:hAnsiTheme="majorHAnsi" w:cstheme="majorHAnsi"/>
          <w:sz w:val="24"/>
          <w:szCs w:val="21"/>
          <w:shd w:val="clear" w:color="auto" w:fill="FFFFFF"/>
        </w:rPr>
        <w:t> are either silent or ambiguous on the question, judges have the authority and duty to resolve the issue (one party or the other has to win, and on disagreements of law, judges make that decision). The court states an </w:t>
      </w:r>
      <w:hyperlink r:id="rId9" w:tooltip="Legal opinion" w:history="1">
        <w:r w:rsidRPr="007A6118">
          <w:rPr>
            <w:rStyle w:val="Hyperlink"/>
            <w:rFonts w:asciiTheme="majorHAnsi" w:hAnsiTheme="majorHAnsi" w:cstheme="majorHAnsi"/>
            <w:color w:val="auto"/>
            <w:sz w:val="24"/>
            <w:szCs w:val="21"/>
            <w:shd w:val="clear" w:color="auto" w:fill="FFFFFF"/>
          </w:rPr>
          <w:t>opinion</w:t>
        </w:r>
      </w:hyperlink>
      <w:r w:rsidRPr="007A6118">
        <w:rPr>
          <w:rFonts w:asciiTheme="majorHAnsi" w:hAnsiTheme="majorHAnsi" w:cstheme="majorHAnsi"/>
          <w:sz w:val="24"/>
          <w:szCs w:val="21"/>
          <w:shd w:val="clear" w:color="auto" w:fill="FFFFFF"/>
        </w:rPr>
        <w:t> that gives reasons for the decision, and those reasons agglomerate with past decisions as </w:t>
      </w:r>
      <w:hyperlink r:id="rId10" w:tooltip="Precedent" w:history="1">
        <w:r w:rsidRPr="007A6118">
          <w:rPr>
            <w:rStyle w:val="Hyperlink"/>
            <w:rFonts w:asciiTheme="majorHAnsi" w:hAnsiTheme="majorHAnsi" w:cstheme="majorHAnsi"/>
            <w:color w:val="auto"/>
            <w:sz w:val="24"/>
            <w:szCs w:val="21"/>
            <w:shd w:val="clear" w:color="auto" w:fill="FFFFFF"/>
          </w:rPr>
          <w:t>precedent</w:t>
        </w:r>
      </w:hyperlink>
      <w:r w:rsidRPr="007A6118">
        <w:rPr>
          <w:rFonts w:asciiTheme="majorHAnsi" w:hAnsiTheme="majorHAnsi" w:cstheme="majorHAnsi"/>
          <w:sz w:val="24"/>
          <w:szCs w:val="21"/>
          <w:shd w:val="clear" w:color="auto" w:fill="FFFFFF"/>
        </w:rPr>
        <w:t xml:space="preserve"> to bind future judges and litigants. </w:t>
      </w:r>
    </w:p>
    <w:p w:rsidR="007253D2" w:rsidRDefault="007A6118">
      <w:pPr>
        <w:rPr>
          <w:rFonts w:asciiTheme="majorHAnsi" w:hAnsiTheme="majorHAnsi" w:cstheme="majorHAnsi"/>
          <w:color w:val="202122"/>
          <w:sz w:val="24"/>
          <w:szCs w:val="21"/>
          <w:shd w:val="clear" w:color="auto" w:fill="FFFFFF"/>
        </w:rPr>
      </w:pPr>
      <w:r w:rsidRPr="007A6118">
        <w:rPr>
          <w:rFonts w:asciiTheme="majorHAnsi" w:hAnsiTheme="majorHAnsi" w:cstheme="majorHAnsi"/>
          <w:sz w:val="24"/>
          <w:szCs w:val="21"/>
          <w:shd w:val="clear" w:color="auto" w:fill="FFFFFF"/>
        </w:rPr>
        <w:t>Common law, as the body of law made by judges, stands in contrast to and on equal footing with </w:t>
      </w:r>
      <w:hyperlink r:id="rId11" w:tooltip="Statute law" w:history="1">
        <w:r w:rsidRPr="007A6118">
          <w:rPr>
            <w:rStyle w:val="Hyperlink"/>
            <w:rFonts w:asciiTheme="majorHAnsi" w:hAnsiTheme="majorHAnsi" w:cstheme="majorHAnsi"/>
            <w:color w:val="auto"/>
            <w:sz w:val="24"/>
            <w:szCs w:val="21"/>
            <w:shd w:val="clear" w:color="auto" w:fill="FFFFFF"/>
          </w:rPr>
          <w:t>statutes</w:t>
        </w:r>
      </w:hyperlink>
      <w:r w:rsidRPr="007A6118">
        <w:rPr>
          <w:rFonts w:asciiTheme="majorHAnsi" w:hAnsiTheme="majorHAnsi" w:cstheme="majorHAnsi"/>
          <w:sz w:val="24"/>
          <w:szCs w:val="21"/>
          <w:shd w:val="clear" w:color="auto" w:fill="FFFFFF"/>
        </w:rPr>
        <w:t> which are adopted through the legislative process, and </w:t>
      </w:r>
      <w:hyperlink r:id="rId12" w:tooltip="Regulation (law)" w:history="1">
        <w:r w:rsidRPr="007A6118">
          <w:rPr>
            <w:rStyle w:val="Hyperlink"/>
            <w:rFonts w:asciiTheme="majorHAnsi" w:hAnsiTheme="majorHAnsi" w:cstheme="majorHAnsi"/>
            <w:color w:val="auto"/>
            <w:sz w:val="24"/>
            <w:szCs w:val="21"/>
            <w:shd w:val="clear" w:color="auto" w:fill="FFFFFF"/>
          </w:rPr>
          <w:t>regulations</w:t>
        </w:r>
      </w:hyperlink>
      <w:r w:rsidRPr="007A6118">
        <w:rPr>
          <w:rFonts w:asciiTheme="majorHAnsi" w:hAnsiTheme="majorHAnsi" w:cstheme="majorHAnsi"/>
          <w:sz w:val="24"/>
          <w:szCs w:val="21"/>
          <w:shd w:val="clear" w:color="auto" w:fill="FFFFFF"/>
        </w:rPr>
        <w:t> which are promulgated by the </w:t>
      </w:r>
      <w:hyperlink r:id="rId13" w:tooltip="Executive (government)" w:history="1">
        <w:r w:rsidRPr="007A6118">
          <w:rPr>
            <w:rStyle w:val="Hyperlink"/>
            <w:rFonts w:asciiTheme="majorHAnsi" w:hAnsiTheme="majorHAnsi" w:cstheme="majorHAnsi"/>
            <w:color w:val="auto"/>
            <w:sz w:val="24"/>
            <w:szCs w:val="21"/>
            <w:shd w:val="clear" w:color="auto" w:fill="FFFFFF"/>
          </w:rPr>
          <w:t>executive branch</w:t>
        </w:r>
      </w:hyperlink>
      <w:r w:rsidRPr="007A6118">
        <w:rPr>
          <w:rFonts w:asciiTheme="majorHAnsi" w:hAnsiTheme="majorHAnsi" w:cstheme="majorHAnsi"/>
          <w:sz w:val="24"/>
          <w:szCs w:val="21"/>
          <w:shd w:val="clear" w:color="auto" w:fill="FFFFFF"/>
        </w:rPr>
        <w:t> (the interactions among these different sources of law are explained </w:t>
      </w:r>
      <w:hyperlink r:id="rId14" w:anchor="Interaction_with_statute" w:tooltip="Common law" w:history="1">
        <w:r w:rsidRPr="007A6118">
          <w:rPr>
            <w:rStyle w:val="Hyperlink"/>
            <w:rFonts w:asciiTheme="majorHAnsi" w:hAnsiTheme="majorHAnsi" w:cstheme="majorHAnsi"/>
            <w:color w:val="auto"/>
            <w:sz w:val="24"/>
            <w:szCs w:val="21"/>
            <w:shd w:val="clear" w:color="auto" w:fill="FFFFFF"/>
          </w:rPr>
          <w:t>later</w:t>
        </w:r>
      </w:hyperlink>
      <w:r w:rsidRPr="007A6118">
        <w:rPr>
          <w:rFonts w:asciiTheme="majorHAnsi" w:hAnsiTheme="majorHAnsi" w:cstheme="majorHAnsi"/>
          <w:sz w:val="24"/>
          <w:szCs w:val="21"/>
          <w:shd w:val="clear" w:color="auto" w:fill="FFFFFF"/>
        </w:rPr>
        <w:t> in this article). </w:t>
      </w:r>
      <w:hyperlink r:id="rId15" w:tooltip="Stare decisis" w:history="1">
        <w:r w:rsidRPr="007A6118">
          <w:rPr>
            <w:rStyle w:val="Hyperlink"/>
            <w:rFonts w:asciiTheme="majorHAnsi" w:hAnsiTheme="majorHAnsi" w:cstheme="majorHAnsi"/>
            <w:i/>
            <w:iCs/>
            <w:color w:val="auto"/>
            <w:sz w:val="24"/>
            <w:szCs w:val="21"/>
            <w:shd w:val="clear" w:color="auto" w:fill="FFFFFF"/>
          </w:rPr>
          <w:t>Stare decisis</w:t>
        </w:r>
      </w:hyperlink>
      <w:r w:rsidRPr="007A6118">
        <w:rPr>
          <w:rFonts w:asciiTheme="majorHAnsi" w:hAnsiTheme="majorHAnsi" w:cstheme="majorHAnsi"/>
          <w:sz w:val="24"/>
          <w:szCs w:val="21"/>
          <w:shd w:val="clear" w:color="auto" w:fill="FFFFFF"/>
        </w:rPr>
        <w:t xml:space="preserve">, the principle that cases should be decided according to consistent principled rules so that similar facts will yield similar results, lies at the heart of </w:t>
      </w:r>
      <w:r w:rsidRPr="007A6118">
        <w:rPr>
          <w:rFonts w:asciiTheme="majorHAnsi" w:hAnsiTheme="majorHAnsi" w:cstheme="majorHAnsi"/>
          <w:color w:val="202122"/>
          <w:sz w:val="24"/>
          <w:szCs w:val="21"/>
          <w:shd w:val="clear" w:color="auto" w:fill="FFFFFF"/>
        </w:rPr>
        <w:t>all common law systems</w:t>
      </w:r>
      <w:r>
        <w:rPr>
          <w:rFonts w:asciiTheme="majorHAnsi" w:hAnsiTheme="majorHAnsi" w:cstheme="majorHAnsi"/>
          <w:color w:val="202122"/>
          <w:sz w:val="24"/>
          <w:szCs w:val="21"/>
          <w:shd w:val="clear" w:color="auto" w:fill="FFFFFF"/>
        </w:rPr>
        <w:t>.</w:t>
      </w:r>
    </w:p>
    <w:p w:rsidR="007A6118" w:rsidRDefault="007A6118">
      <w:pPr>
        <w:rPr>
          <w:rFonts w:asciiTheme="majorHAnsi" w:hAnsiTheme="majorHAnsi" w:cstheme="majorHAnsi"/>
          <w:color w:val="202122"/>
          <w:sz w:val="24"/>
          <w:szCs w:val="21"/>
          <w:shd w:val="clear" w:color="auto" w:fill="FFFFFF"/>
        </w:rPr>
      </w:pPr>
      <w:r>
        <w:rPr>
          <w:rFonts w:asciiTheme="majorHAnsi" w:hAnsiTheme="majorHAnsi" w:cstheme="majorHAnsi"/>
          <w:color w:val="202122"/>
          <w:sz w:val="24"/>
          <w:szCs w:val="21"/>
          <w:shd w:val="clear" w:color="auto" w:fill="FFFFFF"/>
        </w:rPr>
        <w:t>The engineering industries are usually involved with the Nigerian legal system by contracts, in Nigeria construction contracts are written because terms and condition of the contracts should be clearly spelt out so if any part of the con</w:t>
      </w:r>
      <w:r w:rsidR="00C125CE">
        <w:rPr>
          <w:rFonts w:asciiTheme="majorHAnsi" w:hAnsiTheme="majorHAnsi" w:cstheme="majorHAnsi"/>
          <w:color w:val="202122"/>
          <w:sz w:val="24"/>
          <w:szCs w:val="21"/>
          <w:shd w:val="clear" w:color="auto" w:fill="FFFFFF"/>
        </w:rPr>
        <w:t>tract is violated the issue wou</w:t>
      </w:r>
      <w:bookmarkStart w:id="0" w:name="_GoBack"/>
      <w:bookmarkEnd w:id="0"/>
      <w:r>
        <w:rPr>
          <w:rFonts w:asciiTheme="majorHAnsi" w:hAnsiTheme="majorHAnsi" w:cstheme="majorHAnsi"/>
          <w:color w:val="202122"/>
          <w:sz w:val="24"/>
          <w:szCs w:val="21"/>
          <w:shd w:val="clear" w:color="auto" w:fill="FFFFFF"/>
        </w:rPr>
        <w:t>ld be taken to court of law for settlement as stated above while defining common law.</w:t>
      </w:r>
    </w:p>
    <w:p w:rsidR="00C125CE" w:rsidRPr="007A6118" w:rsidRDefault="00C125CE">
      <w:pPr>
        <w:rPr>
          <w:rFonts w:asciiTheme="majorHAnsi" w:hAnsiTheme="majorHAnsi" w:cstheme="majorHAnsi"/>
          <w:sz w:val="24"/>
        </w:rPr>
      </w:pPr>
    </w:p>
    <w:sectPr w:rsidR="00C125CE" w:rsidRPr="007A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D2"/>
    <w:rsid w:val="007253D2"/>
    <w:rsid w:val="007A6118"/>
    <w:rsid w:val="00C125CE"/>
    <w:rsid w:val="00DB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6724"/>
  <w15:chartTrackingRefBased/>
  <w15:docId w15:val="{0EFCF1A0-E803-44EB-A092-FEFCA6C1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7253D2"/>
  </w:style>
  <w:style w:type="character" w:customStyle="1" w:styleId="kx21rb">
    <w:name w:val="kx21rb"/>
    <w:basedOn w:val="DefaultParagraphFont"/>
    <w:rsid w:val="007253D2"/>
  </w:style>
  <w:style w:type="character" w:styleId="Hyperlink">
    <w:name w:val="Hyperlink"/>
    <w:basedOn w:val="DefaultParagraphFont"/>
    <w:uiPriority w:val="99"/>
    <w:semiHidden/>
    <w:unhideWhenUsed/>
    <w:rsid w:val="007A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ute" TargetMode="External"/><Relationship Id="rId13" Type="http://schemas.openxmlformats.org/officeDocument/2006/relationships/hyperlink" Target="https://en.wikipedia.org/wiki/Executive_(government)" TargetMode="External"/><Relationship Id="rId3" Type="http://schemas.openxmlformats.org/officeDocument/2006/relationships/webSettings" Target="webSettings.xml"/><Relationship Id="rId7" Type="http://schemas.openxmlformats.org/officeDocument/2006/relationships/hyperlink" Target="https://en.wikipedia.org/wiki/Case_of_first_impression" TargetMode="External"/><Relationship Id="rId12" Type="http://schemas.openxmlformats.org/officeDocument/2006/relationships/hyperlink" Target="https://en.wikipedia.org/wiki/Regulation_(la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Stare_decisis" TargetMode="External"/><Relationship Id="rId11" Type="http://schemas.openxmlformats.org/officeDocument/2006/relationships/hyperlink" Target="https://en.wikipedia.org/wiki/Statute_law" TargetMode="External"/><Relationship Id="rId5" Type="http://schemas.openxmlformats.org/officeDocument/2006/relationships/hyperlink" Target="https://en.wikipedia.org/wiki/Precedent" TargetMode="External"/><Relationship Id="rId15" Type="http://schemas.openxmlformats.org/officeDocument/2006/relationships/hyperlink" Target="https://en.wikipedia.org/wiki/Stare_decisis" TargetMode="External"/><Relationship Id="rId10" Type="http://schemas.openxmlformats.org/officeDocument/2006/relationships/hyperlink" Target="https://en.wikipedia.org/wiki/Precedent" TargetMode="External"/><Relationship Id="rId4" Type="http://schemas.openxmlformats.org/officeDocument/2006/relationships/hyperlink" Target="https://en.wikipedia.org/wiki/Tribunals" TargetMode="External"/><Relationship Id="rId9" Type="http://schemas.openxmlformats.org/officeDocument/2006/relationships/hyperlink" Target="https://en.wikipedia.org/wiki/Legal_opinion" TargetMode="External"/><Relationship Id="rId14" Type="http://schemas.openxmlformats.org/officeDocument/2006/relationships/hyperlink" Target="https://en.wikipedia.org/wiki/Common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dc:creator>
  <cp:keywords/>
  <dc:description/>
  <cp:lastModifiedBy>ONYINYECHI</cp:lastModifiedBy>
  <cp:revision>1</cp:revision>
  <dcterms:created xsi:type="dcterms:W3CDTF">2020-06-15T09:09:00Z</dcterms:created>
  <dcterms:modified xsi:type="dcterms:W3CDTF">2020-06-15T09:39:00Z</dcterms:modified>
</cp:coreProperties>
</file>