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20" w:after="120" w:lineRule="auto" w:line="240"/>
        <w:rPr>
          <w:rFonts w:cs="Calibri" w:eastAsia="Times New Roman"/>
          <w:color w:val="000000"/>
          <w:sz w:val="24"/>
          <w:szCs w:val="24"/>
          <w:lang w:eastAsia="en-GB"/>
        </w:rPr>
      </w:pPr>
      <w:r>
        <w:rPr>
          <w:rFonts w:cs="Calibri" w:eastAsia="Times New Roman"/>
          <w:color w:val="000000"/>
          <w:sz w:val="24"/>
          <w:szCs w:val="24"/>
          <w:lang w:eastAsia="en-GB"/>
        </w:rPr>
        <w:t xml:space="preserve">Jagun Seyi </w:t>
      </w:r>
      <w:r>
        <w:rPr>
          <w:rFonts w:cs="Calibri" w:eastAsia="Times New Roman"/>
          <w:color w:val="000000"/>
          <w:sz w:val="24"/>
          <w:szCs w:val="24"/>
          <w:lang w:eastAsia="en-GB"/>
        </w:rPr>
        <w:t xml:space="preserve"> 17/eng04/0</w:t>
      </w:r>
      <w:r>
        <w:rPr>
          <w:rFonts w:cs="Calibri" w:eastAsia="Times New Roman"/>
          <w:color w:val="000000"/>
          <w:sz w:val="24"/>
          <w:szCs w:val="24"/>
          <w:lang w:eastAsia="en-GB"/>
        </w:rPr>
        <w:t xml:space="preserve">35 </w:t>
      </w:r>
      <w:r>
        <w:rPr>
          <w:rFonts w:cs="Calibri" w:eastAsia="Times New Roman"/>
          <w:color w:val="000000"/>
          <w:sz w:val="24"/>
          <w:szCs w:val="24"/>
          <w:lang w:eastAsia="en-GB"/>
        </w:rPr>
        <w:t xml:space="preserve">elect/elect </w:t>
      </w:r>
    </w:p>
    <w:p>
      <w:pPr>
        <w:pStyle w:val="style0"/>
        <w:spacing w:before="120" w:after="120" w:lineRule="auto" w:line="240"/>
        <w:rPr>
          <w:rFonts w:cs="Calibri" w:eastAsia="Times New Roman"/>
          <w:color w:val="000000"/>
          <w:sz w:val="17"/>
          <w:szCs w:val="17"/>
          <w:vertAlign w:val="superscript"/>
          <w:lang w:eastAsia="en-GB"/>
        </w:rPr>
      </w:pPr>
      <w:r>
        <w:rPr>
          <w:rFonts w:cs="Calibri" w:eastAsia="Times New Roman"/>
          <w:b/>
          <w:bCs/>
          <w:i/>
          <w:iCs/>
          <w:color w:val="000000"/>
          <w:sz w:val="24"/>
          <w:szCs w:val="24"/>
          <w:lang w:eastAsia="en-GB"/>
        </w:rPr>
        <w:t>Force majeure</w:t>
      </w:r>
      <w:r>
        <w:rPr>
          <w:rFonts w:cs="Calibri" w:eastAsia="Times New Roman"/>
          <w:color w:val="000000"/>
          <w:sz w:val="24"/>
          <w:szCs w:val="24"/>
          <w:lang w:eastAsia="en-GB"/>
        </w:rPr>
        <w:t> is a common clause in </w:t>
      </w:r>
      <w:r>
        <w:rPr/>
        <w:fldChar w:fldCharType="begin"/>
      </w:r>
      <w:r>
        <w:instrText xml:space="preserve"> HYPERLINK "https://en.wikipedia.org/wiki/Contract" \o "Contract" </w:instrText>
      </w:r>
      <w:r>
        <w:rPr/>
        <w:fldChar w:fldCharType="separate"/>
      </w:r>
      <w:r>
        <w:rPr>
          <w:rFonts w:cs="Calibri" w:eastAsia="Times New Roman"/>
          <w:color w:val="000000"/>
          <w:sz w:val="24"/>
          <w:szCs w:val="24"/>
          <w:lang w:eastAsia="en-GB"/>
        </w:rPr>
        <w:t>contracts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 that essentially frees both parties from liability or obligation when an extraordinary event or circumstance beyond the control of the parties, such as a </w:t>
      </w:r>
      <w:r>
        <w:rPr/>
        <w:fldChar w:fldCharType="begin"/>
      </w:r>
      <w:r>
        <w:instrText xml:space="preserve"> HYPERLINK "https://en.wikipedia.org/wiki/War" \o "War" </w:instrText>
      </w:r>
      <w:r>
        <w:rPr/>
        <w:fldChar w:fldCharType="separate"/>
      </w:r>
      <w:r>
        <w:rPr>
          <w:rFonts w:cs="Calibri" w:eastAsia="Times New Roman"/>
          <w:color w:val="000000"/>
          <w:sz w:val="24"/>
          <w:szCs w:val="24"/>
          <w:lang w:eastAsia="en-GB"/>
        </w:rPr>
        <w:t>war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, </w:t>
      </w:r>
      <w:r>
        <w:rPr/>
        <w:fldChar w:fldCharType="begin"/>
      </w:r>
      <w:r>
        <w:instrText xml:space="preserve"> HYPERLINK "https://en.wikipedia.org/wiki/Strike_action" \o "Strike action" </w:instrText>
      </w:r>
      <w:r>
        <w:rPr/>
        <w:fldChar w:fldCharType="separate"/>
      </w:r>
      <w:r>
        <w:rPr>
          <w:rFonts w:cs="Calibri" w:eastAsia="Times New Roman"/>
          <w:color w:val="000000"/>
          <w:sz w:val="24"/>
          <w:szCs w:val="24"/>
          <w:lang w:eastAsia="en-GB"/>
        </w:rPr>
        <w:t>strike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, </w:t>
      </w:r>
      <w:r>
        <w:rPr/>
        <w:fldChar w:fldCharType="begin"/>
      </w:r>
      <w:r>
        <w:instrText xml:space="preserve"> HYPERLINK "https://en.wikipedia.org/wiki/Riot" \o "Riot" </w:instrText>
      </w:r>
      <w:r>
        <w:rPr/>
        <w:fldChar w:fldCharType="separate"/>
      </w:r>
      <w:r>
        <w:rPr>
          <w:rFonts w:cs="Calibri" w:eastAsia="Times New Roman"/>
          <w:color w:val="000000"/>
          <w:sz w:val="24"/>
          <w:szCs w:val="24"/>
          <w:lang w:eastAsia="en-GB"/>
        </w:rPr>
        <w:t>riot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, crime, </w:t>
      </w:r>
      <w:r>
        <w:rPr/>
        <w:fldChar w:fldCharType="begin"/>
      </w:r>
      <w:r>
        <w:instrText xml:space="preserve"> HYPERLINK "https://en.wikipedia.org/wiki/Epidemic" \o "Epidemic" </w:instrText>
      </w:r>
      <w:r>
        <w:rPr/>
        <w:fldChar w:fldCharType="separate"/>
      </w:r>
      <w:r>
        <w:rPr>
          <w:rFonts w:cs="Calibri" w:eastAsia="Times New Roman"/>
          <w:color w:val="000000"/>
          <w:sz w:val="24"/>
          <w:szCs w:val="24"/>
          <w:lang w:eastAsia="en-GB"/>
        </w:rPr>
        <w:t>epidemic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 or an event described by the legal term </w:t>
      </w:r>
      <w:r>
        <w:rPr/>
        <w:fldChar w:fldCharType="begin"/>
      </w:r>
      <w:r>
        <w:instrText xml:space="preserve"> HYPERLINK "https://en.wikipedia.org/wiki/Act_of_God" \o "Act of God" </w:instrText>
      </w:r>
      <w:r>
        <w:rPr/>
        <w:fldChar w:fldCharType="separate"/>
      </w:r>
      <w:r>
        <w:rPr>
          <w:rFonts w:cs="Calibri" w:eastAsia="Times New Roman"/>
          <w:i/>
          <w:iCs/>
          <w:color w:val="000000"/>
          <w:sz w:val="24"/>
          <w:szCs w:val="24"/>
          <w:lang w:eastAsia="en-GB"/>
        </w:rPr>
        <w:t>act of God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, prevents one or both parties from fulfilling their obligations under the contract. In practice, most force majeure clauses do not excuse a party's non-performance entirely, but only suspend it for the duration of the force majeure.</w:t>
      </w:r>
      <w:r>
        <w:rPr>
          <w:rFonts w:cs="Calibri" w:eastAsia="Times New Roman"/>
          <w:color w:val="000000"/>
          <w:sz w:val="17"/>
          <w:szCs w:val="17"/>
          <w:vertAlign w:val="superscript"/>
          <w:lang w:eastAsia="en-GB"/>
        </w:rPr>
        <w:t xml:space="preserve"> </w:t>
      </w:r>
    </w:p>
    <w:p>
      <w:pPr>
        <w:pStyle w:val="style0"/>
        <w:spacing w:before="120" w:after="120" w:lineRule="auto" w:line="240"/>
        <w:rPr>
          <w:rFonts w:cs="Calibri" w:eastAsia="Times New Roman"/>
          <w:color w:val="000000"/>
          <w:sz w:val="24"/>
          <w:szCs w:val="24"/>
          <w:lang w:eastAsia="en-GB"/>
        </w:rPr>
      </w:pPr>
      <w:r>
        <w:rPr>
          <w:rFonts w:cs="Calibri" w:eastAsia="Times New Roman"/>
          <w:i/>
          <w:iCs/>
          <w:color w:val="000000"/>
          <w:sz w:val="24"/>
          <w:szCs w:val="24"/>
          <w:lang w:eastAsia="en-GB"/>
        </w:rPr>
        <w:t>Force majeure</w:t>
      </w:r>
      <w:r>
        <w:rPr>
          <w:rFonts w:cs="Calibri" w:eastAsia="Times New Roman"/>
          <w:color w:val="000000"/>
          <w:sz w:val="24"/>
          <w:szCs w:val="24"/>
          <w:lang w:eastAsia="en-GB"/>
        </w:rPr>
        <w:t> is generally intended to include occurrences beyond the reasonable control of a party, and therefore would </w:t>
      </w:r>
      <w:r>
        <w:rPr>
          <w:rFonts w:cs="Calibri" w:eastAsia="Times New Roman"/>
          <w:b/>
          <w:bCs/>
          <w:i/>
          <w:iCs/>
          <w:color w:val="000000"/>
          <w:sz w:val="24"/>
          <w:szCs w:val="24"/>
          <w:lang w:eastAsia="en-GB"/>
        </w:rPr>
        <w:t>not</w:t>
      </w:r>
      <w:r>
        <w:rPr>
          <w:rFonts w:cs="Calibri" w:eastAsia="Times New Roman"/>
          <w:color w:val="000000"/>
          <w:sz w:val="24"/>
          <w:szCs w:val="24"/>
          <w:lang w:eastAsia="en-GB"/>
        </w:rPr>
        <w:t> cover:</w:t>
      </w:r>
    </w:p>
    <w:p>
      <w:pPr>
        <w:pStyle w:val="style0"/>
        <w:numPr>
          <w:ilvl w:val="0"/>
          <w:numId w:val="1"/>
        </w:numPr>
        <w:spacing w:before="100" w:beforeAutospacing="true" w:after="24" w:lineRule="auto" w:line="240"/>
        <w:ind w:left="384"/>
        <w:rPr>
          <w:rFonts w:cs="Calibri" w:eastAsia="Times New Roman"/>
          <w:color w:val="000000"/>
          <w:sz w:val="24"/>
          <w:szCs w:val="24"/>
          <w:lang w:eastAsia="en-GB"/>
        </w:rPr>
      </w:pPr>
      <w:r>
        <w:rPr>
          <w:rFonts w:cs="Calibri" w:eastAsia="Times New Roman"/>
          <w:color w:val="000000"/>
          <w:sz w:val="24"/>
          <w:szCs w:val="24"/>
          <w:lang w:eastAsia="en-GB"/>
        </w:rPr>
        <w:t>Any result of the </w:t>
      </w:r>
      <w:r>
        <w:rPr/>
        <w:fldChar w:fldCharType="begin"/>
      </w:r>
      <w:r>
        <w:instrText xml:space="preserve"> HYPERLINK "https://en.wikipedia.org/wiki/Negligence" \o "Negligence" </w:instrText>
      </w:r>
      <w:r>
        <w:rPr/>
        <w:fldChar w:fldCharType="separate"/>
      </w:r>
      <w:r>
        <w:rPr>
          <w:rFonts w:cs="Calibri" w:eastAsia="Times New Roman"/>
          <w:color w:val="000000"/>
          <w:sz w:val="24"/>
          <w:szCs w:val="24"/>
          <w:lang w:eastAsia="en-GB"/>
        </w:rPr>
        <w:t>negligence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 or </w:t>
      </w:r>
      <w:r>
        <w:rPr/>
        <w:fldChar w:fldCharType="begin"/>
      </w:r>
      <w:r>
        <w:instrText xml:space="preserve"> HYPERLINK "https://en.wikipedia.org/wiki/Malfeasance" \o "Malfeasance" </w:instrText>
      </w:r>
      <w:r>
        <w:rPr/>
        <w:fldChar w:fldCharType="separate"/>
      </w:r>
      <w:r>
        <w:rPr>
          <w:rFonts w:cs="Calibri" w:eastAsia="Times New Roman"/>
          <w:color w:val="000000"/>
          <w:sz w:val="24"/>
          <w:szCs w:val="24"/>
          <w:lang w:eastAsia="en-GB"/>
        </w:rPr>
        <w:t>malfeasance</w:t>
      </w:r>
      <w:r>
        <w:rPr/>
        <w:fldChar w:fldCharType="end"/>
      </w:r>
      <w:r>
        <w:rPr>
          <w:rFonts w:cs="Calibri" w:eastAsia="Times New Roman"/>
          <w:color w:val="000000"/>
          <w:sz w:val="24"/>
          <w:szCs w:val="24"/>
          <w:lang w:eastAsia="en-GB"/>
        </w:rPr>
        <w:t> of a party, which has a materially adverse effect on the ability of such party to perform its obligations</w:t>
      </w:r>
      <w:r>
        <w:rPr>
          <w:rFonts w:cs="Calibri" w:eastAsia="Times New Roman"/>
          <w:color w:val="000000"/>
          <w:sz w:val="24"/>
          <w:szCs w:val="24"/>
          <w:lang w:eastAsia="en-GB"/>
        </w:rPr>
        <w:t xml:space="preserve"> </w:t>
      </w:r>
    </w:p>
    <w:p>
      <w:pPr>
        <w:pStyle w:val="style0"/>
        <w:numPr>
          <w:ilvl w:val="0"/>
          <w:numId w:val="1"/>
        </w:numPr>
        <w:spacing w:before="100" w:beforeAutospacing="true" w:after="24" w:lineRule="auto" w:line="240"/>
        <w:ind w:left="384"/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</w:pPr>
      <w:r>
        <w:rPr>
          <w:rFonts w:cs="Calibri" w:eastAsia="Times New Roman"/>
          <w:color w:val="000000"/>
          <w:sz w:val="21"/>
          <w:szCs w:val="21"/>
          <w:shd w:val="clear" w:color="auto" w:fill="ffffff"/>
          <w:lang w:eastAsia="en-GB"/>
        </w:rPr>
        <w:t>Any result of the usual and natural consequences of external forces.</w:t>
      </w:r>
    </w:p>
    <w:p>
      <w:pPr>
        <w:pStyle w:val="style0"/>
        <w:rPr>
          <w:rFonts w:cs="Calibri"/>
          <w:color w:val="000000"/>
          <w:lang w:val="en-GB"/>
        </w:rPr>
      </w:pPr>
    </w:p>
    <w:p>
      <w:pPr>
        <w:pStyle w:val="style179"/>
        <w:numPr>
          <w:ilvl w:val="0"/>
          <w:numId w:val="2"/>
        </w:numPr>
        <w:rPr>
          <w:rFonts w:cs="Calibri"/>
          <w:color w:val="000000"/>
        </w:rPr>
      </w:pPr>
      <w:r>
        <w:rPr>
          <w:rFonts w:cs="Calibri"/>
          <w:color w:val="000000"/>
          <w:lang w:val="en-GB"/>
        </w:rPr>
        <w:t>Any circumstances that are specifically contemplated (included) in the contract—for example, if the contract for the outdoor event specifically permits or requires cancellation in the event of rain.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988788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31F8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174</Words>
  <Pages>1</Pages>
  <Characters>932</Characters>
  <Application>WPS Office</Application>
  <DocSecurity>0</DocSecurity>
  <Paragraphs>7</Paragraphs>
  <ScaleCrop>false</ScaleCrop>
  <LinksUpToDate>false</LinksUpToDate>
  <CharactersWithSpaces>1103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2020-06-22T09:35:32Z</dcterms:created>
  <dc:creator>King Erkar</dc:creator>
  <lastModifiedBy>SM-G532F</lastModifiedBy>
  <dcterms:modified xsi:type="dcterms:W3CDTF">2020-06-22T09:35:32Z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