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20" w:after="120" w:lineRule="auto" w:line="240"/>
        <w:rPr>
          <w:rFonts w:cs="Calibri" w:eastAsia="Times New Roman"/>
          <w:b/>
          <w:bCs/>
          <w:color w:val="000000"/>
          <w:sz w:val="24"/>
          <w:szCs w:val="24"/>
          <w:u w:val="single"/>
          <w:lang w:val="en-US" w:eastAsia="en-GB"/>
        </w:rPr>
      </w:pPr>
      <w:r>
        <w:rPr>
          <w:rFonts w:cs="Calibri" w:eastAsia="Times New Roman"/>
          <w:b/>
          <w:bCs/>
          <w:color w:val="000000"/>
          <w:sz w:val="24"/>
          <w:szCs w:val="24"/>
          <w:u w:val="single"/>
          <w:lang w:val="en-US" w:eastAsia="en-GB"/>
        </w:rPr>
        <w:t>Ijiga obekpa</w:t>
      </w:r>
    </w:p>
    <w:p>
      <w:pPr>
        <w:pStyle w:val="style0"/>
        <w:spacing w:before="120" w:after="120" w:lineRule="auto" w:line="240"/>
        <w:rPr>
          <w:rFonts w:cs="Calibri" w:eastAsia="Times New Roman"/>
          <w:b/>
          <w:bCs/>
          <w:color w:val="000000"/>
          <w:sz w:val="24"/>
          <w:szCs w:val="24"/>
          <w:u w:val="single"/>
          <w:lang w:val="en-US" w:eastAsia="en-GB"/>
        </w:rPr>
      </w:pPr>
      <w:r>
        <w:rPr>
          <w:rFonts w:cs="Calibri" w:eastAsia="Times New Roman"/>
          <w:b/>
          <w:bCs/>
          <w:color w:val="000000"/>
          <w:sz w:val="24"/>
          <w:szCs w:val="24"/>
          <w:u w:val="single"/>
          <w:lang w:val="en-US" w:eastAsia="en-GB"/>
        </w:rPr>
        <w:t>17/eng04/030</w:t>
      </w:r>
    </w:p>
    <w:p>
      <w:pPr>
        <w:pStyle w:val="style0"/>
        <w:spacing w:before="120" w:after="120" w:lineRule="auto" w:line="240"/>
        <w:rPr>
          <w:rFonts w:cs="Calibri" w:eastAsia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cs="Calibri" w:eastAsia="Times New Roman"/>
          <w:b/>
          <w:bCs/>
          <w:color w:val="000000"/>
          <w:sz w:val="24"/>
          <w:szCs w:val="24"/>
          <w:u w:val="single"/>
          <w:lang w:val="en-US" w:eastAsia="en-GB"/>
        </w:rPr>
        <w:t>Electrical electronics engineering</w:t>
      </w:r>
    </w:p>
    <w:p>
      <w:pPr>
        <w:pStyle w:val="style0"/>
        <w:spacing w:before="120" w:after="120" w:lineRule="auto" w:line="240"/>
        <w:rPr>
          <w:rFonts w:cs="Calibri" w:eastAsia="Times New Roman"/>
          <w:color w:val="000000"/>
          <w:sz w:val="17"/>
          <w:szCs w:val="17"/>
          <w:vertAlign w:val="superscript"/>
          <w:lang w:eastAsia="en-GB"/>
        </w:rPr>
      </w:pPr>
      <w:r>
        <w:rPr>
          <w:rFonts w:cs="Calibri" w:eastAsia="Times New Roman"/>
          <w:b/>
          <w:bCs/>
          <w:i/>
          <w:iCs/>
          <w:color w:val="000000"/>
          <w:sz w:val="24"/>
          <w:szCs w:val="24"/>
          <w:lang w:eastAsia="en-GB"/>
        </w:rPr>
        <w:t>Force majeure</w:t>
      </w:r>
      <w:r>
        <w:rPr>
          <w:rFonts w:cs="Calibri" w:eastAsia="Times New Roman"/>
          <w:color w:val="000000"/>
          <w:sz w:val="24"/>
          <w:szCs w:val="24"/>
          <w:lang w:eastAsia="en-GB"/>
        </w:rPr>
        <w:t> is a common clause in </w:t>
      </w:r>
      <w:r>
        <w:rPr/>
        <w:fldChar w:fldCharType="begin"/>
      </w:r>
      <w:r>
        <w:instrText xml:space="preserve"> HYPERLINK "https://en.wikipedia.org/wiki/Contract" \o "Contract"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contracts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 that essentially frees both parties from liability or obligation when an extraordinary event or circumstance beyond the control of the parties, such as a </w:t>
      </w:r>
      <w:r>
        <w:rPr/>
        <w:fldChar w:fldCharType="begin"/>
      </w:r>
      <w:r>
        <w:instrText xml:space="preserve"> HYPERLINK "https://en.wikipedia.org/wiki/War" \o "War"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war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, </w:t>
      </w:r>
      <w:r>
        <w:rPr/>
        <w:fldChar w:fldCharType="begin"/>
      </w:r>
      <w:r>
        <w:instrText xml:space="preserve"> HYPERLINK "https://en.wikipedia.org/wiki/Strike_action" \o "Strike action"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strike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, </w:t>
      </w:r>
      <w:r>
        <w:rPr/>
        <w:fldChar w:fldCharType="begin"/>
      </w:r>
      <w:r>
        <w:instrText xml:space="preserve"> HYPERLINK "https://en.wikipedia.org/wiki/Riot" \o "Riot"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riot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, crime, </w:t>
      </w:r>
      <w:r>
        <w:rPr/>
        <w:fldChar w:fldCharType="begin"/>
      </w:r>
      <w:r>
        <w:instrText xml:space="preserve"> HYPERLINK "https://en.wikipedia.org/wiki/Epidemic" \o "Epidemic"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epidemic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 or an event described by the legal term </w:t>
      </w:r>
      <w:r>
        <w:rPr/>
        <w:fldChar w:fldCharType="begin"/>
      </w:r>
      <w:r>
        <w:instrText xml:space="preserve"> HYPERLINK "https://en.wikipedia.org/wiki/Act_of_God" \o "Act of God" </w:instrText>
      </w:r>
      <w:r>
        <w:rPr/>
        <w:fldChar w:fldCharType="separate"/>
      </w:r>
      <w:r>
        <w:rPr>
          <w:rFonts w:cs="Calibri" w:eastAsia="Times New Roman"/>
          <w:i/>
          <w:iCs/>
          <w:color w:val="000000"/>
          <w:sz w:val="24"/>
          <w:szCs w:val="24"/>
          <w:lang w:eastAsia="en-GB"/>
        </w:rPr>
        <w:t>act of God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  <w:r>
        <w:rPr>
          <w:rFonts w:cs="Calibri" w:eastAsia="Times New Roman"/>
          <w:color w:val="000000"/>
          <w:sz w:val="17"/>
          <w:szCs w:val="17"/>
          <w:vertAlign w:val="superscript"/>
          <w:lang w:eastAsia="en-GB"/>
        </w:rPr>
        <w:t xml:space="preserve"> </w:t>
      </w:r>
    </w:p>
    <w:p>
      <w:pPr>
        <w:pStyle w:val="style0"/>
        <w:spacing w:before="120" w:after="120" w:lineRule="auto" w:line="240"/>
        <w:rPr>
          <w:rFonts w:cs="Calibri" w:eastAsia="Times New Roman"/>
          <w:color w:val="000000"/>
          <w:sz w:val="24"/>
          <w:szCs w:val="24"/>
          <w:lang w:eastAsia="en-GB"/>
        </w:rPr>
      </w:pPr>
      <w:r>
        <w:rPr>
          <w:rFonts w:cs="Calibri" w:eastAsia="Times New Roman"/>
          <w:i/>
          <w:iCs/>
          <w:color w:val="000000"/>
          <w:sz w:val="24"/>
          <w:szCs w:val="24"/>
          <w:lang w:eastAsia="en-GB"/>
        </w:rPr>
        <w:t>Force majeure</w:t>
      </w:r>
      <w:r>
        <w:rPr>
          <w:rFonts w:cs="Calibri" w:eastAsia="Times New Roman"/>
          <w:color w:val="000000"/>
          <w:sz w:val="24"/>
          <w:szCs w:val="24"/>
          <w:lang w:eastAsia="en-GB"/>
        </w:rPr>
        <w:t> is generally intended to include occurrences beyond the reasonable control of a party, and therefore would </w:t>
      </w:r>
      <w:r>
        <w:rPr>
          <w:rFonts w:cs="Calibri" w:eastAsia="Times New Roman"/>
          <w:b/>
          <w:bCs/>
          <w:i/>
          <w:iCs/>
          <w:color w:val="000000"/>
          <w:sz w:val="24"/>
          <w:szCs w:val="24"/>
          <w:lang w:eastAsia="en-GB"/>
        </w:rPr>
        <w:t>not</w:t>
      </w:r>
      <w:r>
        <w:rPr>
          <w:rFonts w:cs="Calibri" w:eastAsia="Times New Roman"/>
          <w:color w:val="000000"/>
          <w:sz w:val="24"/>
          <w:szCs w:val="24"/>
          <w:lang w:eastAsia="en-GB"/>
        </w:rPr>
        <w:t> cover:</w:t>
      </w:r>
    </w:p>
    <w:p>
      <w:pPr>
        <w:pStyle w:val="style0"/>
        <w:numPr>
          <w:ilvl w:val="0"/>
          <w:numId w:val="1"/>
        </w:numPr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4"/>
          <w:szCs w:val="24"/>
          <w:lang w:eastAsia="en-GB"/>
        </w:rPr>
      </w:pPr>
      <w:r>
        <w:rPr>
          <w:rFonts w:cs="Calibri" w:eastAsia="Times New Roman"/>
          <w:color w:val="000000"/>
          <w:sz w:val="24"/>
          <w:szCs w:val="24"/>
          <w:lang w:eastAsia="en-GB"/>
        </w:rPr>
        <w:t>Any result of the </w:t>
      </w:r>
      <w:r>
        <w:rPr/>
        <w:fldChar w:fldCharType="begin"/>
      </w:r>
      <w:r>
        <w:instrText xml:space="preserve"> HYPERLINK "https://en.wikipedia.org/wiki/Negligence" \o "Negligence"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negligence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 or </w:t>
      </w:r>
      <w:r>
        <w:rPr/>
        <w:fldChar w:fldCharType="begin"/>
      </w:r>
      <w:r>
        <w:instrText xml:space="preserve"> HYPERLINK "https://en.wikipedia.org/wiki/Malfeasance" \o "Malfeasance"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malfeasance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 of a party, which has a materially adverse effect on the ability of such party to perform its obligations</w:t>
      </w:r>
      <w:r>
        <w:rPr>
          <w:rFonts w:cs="Calibri" w:eastAsia="Times New Roman"/>
          <w:color w:val="000000"/>
          <w:sz w:val="24"/>
          <w:szCs w:val="24"/>
          <w:lang w:eastAsia="en-GB"/>
        </w:rPr>
        <w:t xml:space="preserve"> </w:t>
      </w:r>
    </w:p>
    <w:p>
      <w:pPr>
        <w:pStyle w:val="style0"/>
        <w:numPr>
          <w:ilvl w:val="0"/>
          <w:numId w:val="1"/>
        </w:numPr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4"/>
          <w:szCs w:val="24"/>
          <w:lang w:eastAsia="en-GB"/>
        </w:rPr>
      </w:pP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>Any result of the usual and natural consequences of external forces.</w:t>
      </w:r>
    </w:p>
    <w:p>
      <w:pPr>
        <w:pStyle w:val="style0"/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</w:pP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 xml:space="preserve">As a Practicing electrical electronic engineering I have found that the force majeure clause applies majorly when there is an issue with nature </w:t>
      </w: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>ie</w:t>
      </w: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 xml:space="preserve"> lighting storms which make it an unsafe environment to install equipment </w:t>
      </w:r>
    </w:p>
    <w:p>
      <w:pPr>
        <w:pStyle w:val="style0"/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</w:pP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 xml:space="preserve">Economics acts like inflections which bump up the price on already pre negotiated contracts </w:t>
      </w:r>
    </w:p>
    <w:p>
      <w:pPr>
        <w:pStyle w:val="style0"/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4"/>
          <w:szCs w:val="24"/>
          <w:lang w:eastAsia="en-GB"/>
        </w:rPr>
      </w:pPr>
    </w:p>
    <w:p>
      <w:pPr>
        <w:pStyle w:val="style0"/>
        <w:rPr>
          <w:rFonts w:cs="Calibri"/>
          <w:color w:val="000000"/>
        </w:rPr>
      </w:pPr>
      <w:r>
        <w:rPr>
          <w:rFonts w:cs="Calibri"/>
          <w:color w:val="000000"/>
        </w:rPr>
        <w:t>Force majeure in any given situation is controlled by the law governing the contract, rather than general concepts of force majeure. The law of the contract often specified by a choice of law clause in the agreement, and if not is decided by a statute or principals of general law which apply to the contract. The first step to assess whether - and how - force majeure applies to any particular contract is to ascertain the law of the country which governs the contract.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988788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280</Words>
  <Pages>1</Pages>
  <Characters>1434</Characters>
  <Application>WPS Office</Application>
  <DocSecurity>0</DocSecurity>
  <Paragraphs>11</Paragraphs>
  <ScaleCrop>false</ScaleCrop>
  <LinksUpToDate>false</LinksUpToDate>
  <CharactersWithSpaces>1708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2020-06-22T09:33:04Z</dcterms:created>
  <dc:creator>King Erkar</dc:creator>
  <lastModifiedBy>SM-A705FN</lastModifiedBy>
  <dcterms:modified xsi:type="dcterms:W3CDTF">2020-06-22T09:33:04Z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