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 xml:space="preserve">Name: James Vivian chidera </w:t>
      </w:r>
    </w:p>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Matric no: 18/mhs02/096</w:t>
      </w:r>
    </w:p>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Course code: PHS212</w:t>
      </w:r>
    </w:p>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 xml:space="preserve">Department: Nursing science </w:t>
      </w:r>
    </w:p>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1. Discuss the somatosensory pathway.</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bCs w:val="0"/>
          <w:color w:val="121212"/>
          <w:sz w:val="32"/>
          <w:szCs w:val="32"/>
          <w:lang w:val="en-US"/>
        </w:rPr>
        <w:t xml:space="preserve"> A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somatosensory system</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a part of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"/wiki/Sensory_nervous_system" \o "Sensory nervous system"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sensory nervous system</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A somatosensory pathway consist of three neurons: 1. Primary, 2. secondary, 3. tertiary.</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primary </w:t>
      </w:r>
      <w:r>
        <w:rPr>
          <w:rFonts w:hint="default" w:ascii="Times New Roman" w:hAnsi="Times New Roman" w:eastAsia="Times New Roman" w:cs="Times New Roman"/>
          <w:b w:val="0"/>
          <w:bCs w:val="0"/>
          <w:i w:val="0"/>
          <w:caps w:val="0"/>
          <w:color w:val="121212"/>
          <w:spacing w:val="0"/>
          <w:sz w:val="32"/>
          <w:szCs w:val="32"/>
          <w:u w:val="none"/>
          <w:vertAlign w:val="baseline"/>
        </w:rPr>
        <w:t>neuron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a type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"/wiki/Pseudounipolar_neuron" \o "Pseudounipolar neuron"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pseudounipolar neuron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and always has its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"/wiki/Cell_body" \o "Cell body"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cell body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"/wiki/Dorsal_root_ganglion" \o "Dorsal root ganglion"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dorsal root ganglion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"/wiki/Spinal_nerve" \o "Spinal nerve"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spinal nerve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with a peripheral</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"/wiki/Axon" \o "Axon"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axon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innervating touch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"/wiki/Mechanoreceptor" \o "Mechanoreceptor"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mechanoreceptors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and a central axon synapsing on the second-order neuron. If the somatosensory pathway is in parts of the head or neck not covered by the cervical nerves, the first-order neuron will be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"/wiki/Trigeminal_ganglion" \o "Trigeminal ganglion"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trigeminal nerve ganglia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or the ganglia of other sensory</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"/wiki/Cranial_nerves" \o "Cranial nerves"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cranial nerves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secondary </w:t>
      </w:r>
      <w:r>
        <w:rPr>
          <w:rFonts w:hint="default" w:ascii="Times New Roman" w:hAnsi="Times New Roman" w:eastAsia="Times New Roman" w:cs="Times New Roman"/>
          <w:b w:val="0"/>
          <w:bCs w:val="0"/>
          <w:i w:val="0"/>
          <w:caps w:val="0"/>
          <w:color w:val="121212"/>
          <w:spacing w:val="0"/>
          <w:sz w:val="32"/>
          <w:szCs w:val="32"/>
          <w:u w:val="none"/>
          <w:vertAlign w:val="baseline"/>
        </w:rPr>
        <w:t>neuron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has its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"/wiki/Cell_body" \o "Cell body"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cell body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either in the spinal cord or in the brainstem. This neuron's ascending</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"/wiki/Axons" \o "Axons"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axons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will cross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"/wiki/Decussate" \o "Decussate"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decussate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to the opposite side either 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"/wiki/Spinal_cord" \o "Spinal cord"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spinal cord</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or 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"/wiki/Brainstem" \o "Brainstem"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brainstem</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b w:val="0"/>
          <w:bCs w:val="0"/>
          <w:i w:val="0"/>
          <w:caps w:val="0"/>
          <w:color w:val="121212"/>
          <w:spacing w:val="0"/>
          <w:sz w:val="32"/>
          <w:szCs w:val="32"/>
          <w:u w:val="none"/>
          <w:vertAlign w:val="baseline"/>
          <w:lang w:val="en-US"/>
        </w:rPr>
      </w:pP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3. </w:t>
      </w:r>
      <w:r>
        <w:rPr>
          <w:rFonts w:hint="default" w:ascii="Times New Roman" w:hAnsi="Times New Roman" w:eastAsia="Times New Roman" w:cs="Times New Roman"/>
          <w:b w:val="0"/>
          <w:bCs w:val="0"/>
          <w:i w:val="0"/>
          <w:caps w:val="0"/>
          <w:color w:val="121212"/>
          <w:spacing w:val="0"/>
          <w:sz w:val="32"/>
          <w:szCs w:val="32"/>
          <w:u w:val="none"/>
          <w:vertAlign w:val="baseline"/>
        </w:rPr>
        <w:t>In the case of touch and certain types of pain,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lang w:val="en-US"/>
        </w:rPr>
        <w:t>tertiary n</w:t>
      </w:r>
      <w:r>
        <w:rPr>
          <w:rFonts w:hint="default" w:ascii="Times New Roman" w:hAnsi="Times New Roman" w:eastAsia="Times New Roman" w:cs="Times New Roman"/>
          <w:b w:val="0"/>
          <w:bCs w:val="0"/>
          <w:i w:val="0"/>
          <w:caps w:val="0"/>
          <w:color w:val="121212"/>
          <w:spacing w:val="0"/>
          <w:sz w:val="32"/>
          <w:szCs w:val="32"/>
          <w:u w:val="none"/>
          <w:vertAlign w:val="baseline"/>
        </w:rPr>
        <w:t>euron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has its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"/wiki/Cell_body" \o "Cell body"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cell body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"/wiki/Ventral_posterior_nucleus" \o "Ventral posterior nucleus"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ventral posterior nucleus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 xml:space="preserve">of the </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thalamus </w:t>
      </w:r>
      <w:r>
        <w:rPr>
          <w:rFonts w:hint="default" w:ascii="Times New Roman" w:hAnsi="Times New Roman" w:eastAsia="Times New Roman" w:cs="Times New Roman"/>
          <w:b w:val="0"/>
          <w:bCs w:val="0"/>
          <w:i w:val="0"/>
          <w:caps w:val="0"/>
          <w:color w:val="121212"/>
          <w:spacing w:val="0"/>
          <w:sz w:val="32"/>
          <w:szCs w:val="32"/>
          <w:u w:val="none"/>
          <w:vertAlign w:val="baseline"/>
        </w:rPr>
        <w:t>and ends 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"/wiki/Postcentral_gyrus" \o "Postcentral gyrus"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postcentral gyrus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"/wiki/Parietal_lobe" \o "Parietal lobe"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parietal lobe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"/wiki/Primary_somatosensory_cortex" \o "Primary somatosensory cortex"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primary somatosensory cortex</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lang w:val="en-US"/>
        </w:rPr>
        <w:t>.</w:t>
      </w:r>
    </w:p>
    <w:p>
      <w:pPr>
        <w:widowControl/>
        <w:jc w:val="left"/>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Photoreceptors, similar to those found in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"/wiki/Retina" \o "Retina"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retina</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of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"/wiki/Eye" \o "Eye"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eye</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detect potentially damaging</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"/wiki/Ultraviolet_radiation" \o "Ultraviolet radiation"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ultraviolet radiation</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"/wiki/Ultraviolet_A" \o "Ultraviolet A"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ultraviolet A</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specifically), inducing increased production of</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"/wiki/Melanin" \o "Melanin"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melanin</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by</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"/wiki/Melanocytes" \o "Melanocytes"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melanocytes</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Thus tanning potentially offers the skin rapid protection from DNA damage and sunburn caused by</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"/wiki/Ultraviolet_radiation" \o "Ultraviolet radiation"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ultraviolet radiation</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However, whether this offers protection is debatable, because the amount of melanin released by this process is modest in comparison to the amounts released in response to DNA damage caused by</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instrText xml:space="preserve"> HYPERLINK "/wiki/Ultraviolet_B" \o "Ultraviolet B" </w:instrTex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ultraviolet B</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radiation.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apple-system" w:hAnsi="-apple-system" w:eastAsia="-apple-system" w:cs="-apple-system"/>
          <w:b w:val="0"/>
          <w:i w:val="0"/>
          <w:caps w:val="0"/>
          <w:color w:val="6B4BA1"/>
          <w:spacing w:val="0"/>
          <w:sz w:val="24"/>
          <w:szCs w:val="24"/>
          <w:u w:val="none"/>
          <w:vertAlign w:val="baseline"/>
          <w:lang w:val="en-US"/>
        </w:rPr>
      </w:pPr>
    </w:p>
    <w:p>
      <w:pPr>
        <w:widowControl/>
        <w:jc w:val="left"/>
        <w:rPr>
          <w:rFonts w:ascii="proxima-nova" w:hAnsi="proxima-nova" w:eastAsia="proxima-nova" w:cs="proxima-nova"/>
          <w:b w:val="0"/>
          <w:i w:val="0"/>
          <w:caps w:val="0"/>
          <w:color w:val="373D3F"/>
          <w:spacing w:val="0"/>
          <w:kern w:val="0"/>
          <w:sz w:val="24"/>
          <w:szCs w:val="24"/>
          <w:u w:val="none"/>
          <w:shd w:val="clear" w:fill="FFFFFF"/>
          <w:lang w:val="en-US" w:eastAsia="zh-CN" w:bidi="ar"/>
        </w:rPr>
      </w:pPr>
    </w:p>
    <w:p>
      <w:pPr>
        <w:pStyle w:val="3"/>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proxima-nova" w:hAnsi="proxima-nova" w:eastAsia="proxima-nova" w:cs="proxima-nova"/>
          <w:b w:val="0"/>
          <w:i w:val="0"/>
          <w:caps w:val="0"/>
          <w:color w:val="373D3F"/>
          <w:spacing w:val="0"/>
          <w:sz w:val="24"/>
          <w:szCs w:val="24"/>
          <w:u w:val="none"/>
          <w:vertAlign w:val="baseline"/>
        </w:rPr>
        <w:t>T</w:t>
      </w:r>
      <w:r>
        <w:rPr>
          <w:rFonts w:hint="default" w:ascii="Times New Roman" w:hAnsi="Times New Roman" w:eastAsia="Times New Roman" w:cs="Times New Roman"/>
          <w:b w:val="0"/>
          <w:bCs w:val="0"/>
          <w:i w:val="0"/>
          <w:caps w:val="0"/>
          <w:color w:val="121212"/>
          <w:spacing w:val="0"/>
          <w:sz w:val="32"/>
          <w:szCs w:val="32"/>
          <w:u w:val="none"/>
          <w:vertAlign w:val="baseline"/>
        </w:rPr>
        <w: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pPr>
        <w:pStyle w:val="3"/>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pPr>
        <w:pStyle w:val="3"/>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For example, there is a large area of cortex devoted to sensation in the hands, while the back requires a much smaller area. Somatosensory information involved with proprioception and posture is processed in the cerebellum.</w:t>
      </w:r>
    </w:p>
    <w:p>
      <w:pPr>
        <w:pStyle w:val="2"/>
        <w:widowControl/>
        <w:pBdr>
          <w:top w:val="none" w:color="auto" w:sz="0" w:space="0"/>
          <w:left w:val="none" w:color="auto" w:sz="0" w:space="0"/>
          <w:bottom w:val="none" w:color="auto" w:sz="0" w:space="0"/>
          <w:right w:val="none" w:color="auto" w:sz="0" w:space="0"/>
        </w:pBdr>
        <w:ind w:left="0" w:firstLine="0"/>
        <w:jc w:val="left"/>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6"/>
          <w:szCs w:val="36"/>
          <w:u w:val="none"/>
          <w:vertAlign w:val="baseline"/>
        </w:rPr>
        <w:t>Functions</w:t>
      </w:r>
    </w:p>
    <w:p>
      <w:pPr>
        <w:pStyle w:val="3"/>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The somatosensory system functions in the body’s periphery, spinal cord, and the brain.</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Periphery: Sensory receptors (i.e., thermoreceptors, mechanoreceptors, etc.) detect the various stimuli.</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Spinal cord: Afferent pathways in the spinal cord serve to pass information from the periphery and the rest of the body to the brain.</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proxima-nova" w:hAnsi="proxima-nova" w:eastAsia="proxima-nova" w:cs="proxima-nova"/>
          <w:sz w:val="24"/>
          <w:szCs w:val="24"/>
        </w:rPr>
      </w:pPr>
      <w:r>
        <w:rPr>
          <w:rFonts w:hint="default" w:ascii="Times New Roman" w:hAnsi="Times New Roman" w:eastAsia="Times New Roman" w:cs="Times New Roman"/>
          <w:b w:val="0"/>
          <w:bCs w:val="0"/>
          <w:i w:val="0"/>
          <w:caps w:val="0"/>
          <w:color w:val="121212"/>
          <w:spacing w:val="0"/>
          <w:sz w:val="32"/>
          <w:szCs w:val="32"/>
          <w:u w:val="none"/>
          <w:vertAlign w:val="baseline"/>
        </w:rPr>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0" w:leftChars="0" w:firstLine="0" w:firstLineChars="0"/>
        <w:jc w:val="left"/>
        <w:textAlignment w:val="baseline"/>
      </w:pPr>
      <w:r>
        <w:drawing>
          <wp:inline distT="0" distB="0" distL="114300" distR="114300">
            <wp:extent cx="4562475" cy="6096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562475" cy="6096000"/>
                    </a:xfrm>
                    <a:prstGeom prst="rect">
                      <a:avLst/>
                    </a:prstGeom>
                    <a:noFill/>
                    <a:ln w="9525">
                      <a:noFill/>
                    </a:ln>
                  </pic:spPr>
                </pic:pic>
              </a:graphicData>
            </a:graphic>
          </wp:inline>
        </w:drawing>
      </w: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0" w:leftChars="0" w:firstLine="0" w:firstLineChars="0"/>
        <w:jc w:val="left"/>
        <w:textAlignment w:val="baseline"/>
        <w:rPr>
          <w:rFonts w:hint="default" w:ascii="Times New Roman" w:hAnsi="Times New Roman" w:eastAsia="Times New Roman" w:cs="Times New Roman"/>
          <w:color w:val="121212"/>
          <w:sz w:val="32"/>
          <w:szCs w:val="32"/>
        </w:rPr>
      </w:pPr>
    </w:p>
    <w:p>
      <w:pPr>
        <w:widowControl/>
        <w:jc w:val="left"/>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Note</w:t>
      </w:r>
    </w:p>
    <w:p>
      <w:pPr>
        <w:widowControl/>
        <w:jc w:val="left"/>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pP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A somatosensory pathway will typically have three neurons: primary, secondary, and tertiary.</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The cell bodies of the three neurons in a typical somatosensory pathway are located in the dorsal root ganglion, the spinal cord, and the thalamus.</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A major target of somatosensory pathways is the postcentral gyrus in the parietal lobe of the cerebral cortex.</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A major somatosensory pathway is the dorsal column–medial lemniscal pathway.</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The postcentral gyrus is the location of the primary somatosensory area that takes the form of a map called the sensory homunculus.</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Key Terms</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parietal lobe: A part of the brain positioned superior to the occipital lobe and posterior to the frontal lobe that integrates sensory information from different modalities and is particularly important for determining spatial sense and navigation.</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reticular activating system: A set of connected nuclei in the brain responsible for regulating wakefulness and sleep-to-wake transitions.</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postcentral gyrus: A prominent structure in the parietal lobe of the human brain that is the location of the primary somatosensory cortex, the main sensory receptive area for the sense of touch.</w:t>
      </w:r>
    </w:p>
    <w:p>
      <w:pPr>
        <w:spacing w:line="480" w:lineRule="auto"/>
        <w:jc w:val="both"/>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thalamus: Either of two large, ovoid structures of gray matter within the forebrain that relay sensory impulses to the cerebral cortex.</w:t>
      </w:r>
    </w:p>
    <w:p>
      <w:pPr>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color w:val="121212"/>
          <w:sz w:val="32"/>
          <w:szCs w:val="32"/>
          <w:lang w:val="en-US"/>
        </w:rPr>
        <w:t>A somatosensory pathway will typically have three long neurons: primary, secondary, and tertiary. The first always has its cell body in the dorsal root ganglion of the spinal nerve.</w:t>
      </w:r>
    </w:p>
    <w:p>
      <w:pPr>
        <w:pStyle w:val="3"/>
        <w:widowControl/>
        <w:spacing w:beforeAutospacing="0" w:after="150" w:afterAutospacing="0" w:line="21" w:lineRule="atLeast"/>
        <w:ind w:left="0" w:right="0" w:firstLine="0"/>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 </w:t>
      </w:r>
    </w:p>
    <w:p>
      <w:pPr>
        <w:pStyle w:val="3"/>
        <w:widowControl/>
        <w:spacing w:beforeAutospacing="0" w:after="150" w:afterAutospacing="0" w:line="21" w:lineRule="atLeast"/>
        <w:ind w:left="0" w:right="0" w:firstLine="0"/>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i w:val="0"/>
          <w:caps w:val="0"/>
          <w:color w:val="121212"/>
          <w:spacing w:val="0"/>
          <w:sz w:val="32"/>
          <w:szCs w:val="32"/>
          <w:u w:val="none"/>
        </w:rPr>
        <w:t>Dorsal root ganglion: Sensory nerves of a dorsal root ganglion are depicted entering the spinal cord</w:t>
      </w:r>
    </w:p>
    <w:p>
      <w:pPr>
        <w:pStyle w:val="3"/>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Times New Roman" w:cs="Times New Roman"/>
          <w:b w:val="0"/>
          <w:i w:val="0"/>
          <w:caps w:val="0"/>
          <w:color w:val="121212"/>
          <w:spacing w:val="0"/>
          <w:sz w:val="32"/>
          <w:szCs w:val="32"/>
          <w:u w:val="none"/>
        </w:rPr>
        <w:t> </w:t>
      </w:r>
    </w:p>
    <w:p>
      <w:pPr>
        <w:pStyle w:val="3"/>
        <w:widowControl/>
        <w:spacing w:beforeAutospacing="0" w:after="150" w:afterAutospacing="0" w:line="21" w:lineRule="atLeast"/>
        <w:ind w:left="0" w:right="0" w:firstLine="0"/>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fldChar w:fldCharType="begin" w:fldLock="1"/>
      </w:r>
      <w:r>
        <w:rPr>
          <w:rFonts w:hint="default" w:ascii="Times New Roman" w:hAnsi="Times New Roman" w:eastAsia="Times New Roman" w:cs="Times New Roman"/>
          <w:b w:val="0"/>
          <w:i w:val="0"/>
          <w:caps w:val="0"/>
          <w:color w:val="121212"/>
          <w:spacing w:val="0"/>
          <w:sz w:val="32"/>
          <w:szCs w:val="32"/>
          <w:u w:val="none"/>
        </w:rPr>
        <w:instrText xml:space="preserve">INCLUDEPICTURE \d "c9b7b38aadd03a57f044ae5a19f26059" \* MERGEFORMATINET </w:instrText>
      </w:r>
      <w:r>
        <w:rPr>
          <w:rFonts w:hint="default" w:ascii="Times New Roman" w:hAnsi="Times New Roman" w:eastAsia="Times New Roman" w:cs="Times New Roman"/>
          <w:b w:val="0"/>
          <w:i w:val="0"/>
          <w:caps w:val="0"/>
          <w:color w:val="121212"/>
          <w:spacing w:val="0"/>
          <w:sz w:val="32"/>
          <w:szCs w:val="32"/>
          <w:u w:val="none"/>
        </w:rPr>
        <w:fldChar w:fldCharType="separate"/>
      </w:r>
      <w:r>
        <w:rPr>
          <w:rFonts w:hint="default" w:ascii="Times New Roman" w:hAnsi="Times New Roman" w:eastAsia="Times New Roman" w:cs="Times New Roman"/>
          <w:b w:val="0"/>
          <w:i w:val="0"/>
          <w:caps w:val="0"/>
          <w:color w:val="121212"/>
          <w:spacing w:val="0"/>
          <w:sz w:val="32"/>
          <w:szCs w:val="32"/>
          <w:u w:val="none"/>
        </w:rPr>
        <w:drawing>
          <wp:inline distT="0" distB="0" distL="114300" distR="114300">
            <wp:extent cx="6858000" cy="6524625"/>
            <wp:effectExtent l="0" t="0" r="0" b="190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5" r:link="rId6"/>
                    <a:stretch>
                      <a:fillRect/>
                    </a:stretch>
                  </pic:blipFill>
                  <pic:spPr>
                    <a:xfrm>
                      <a:off x="0" y="0"/>
                      <a:ext cx="6858000" cy="6524625"/>
                    </a:xfrm>
                    <a:prstGeom prst="rect">
                      <a:avLst/>
                    </a:prstGeom>
                    <a:noFill/>
                    <a:ln w="9525">
                      <a:noFill/>
                    </a:ln>
                  </pic:spPr>
                </pic:pic>
              </a:graphicData>
            </a:graphic>
          </wp:inline>
        </w:drawing>
      </w:r>
      <w:r>
        <w:rPr>
          <w:rFonts w:hint="default" w:ascii="Times New Roman" w:hAnsi="Times New Roman" w:eastAsia="Times New Roman" w:cs="Times New Roman"/>
          <w:b w:val="0"/>
          <w:i w:val="0"/>
          <w:caps w:val="0"/>
          <w:color w:val="121212"/>
          <w:spacing w:val="0"/>
          <w:sz w:val="32"/>
          <w:szCs w:val="32"/>
          <w:u w:val="none"/>
        </w:rPr>
        <w:fldChar w:fldCharType="end"/>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 </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In the case of touch and certain types of pain, the third neuron has its cell body in the ventral posterior nucleus of the thalamus and ends in the postcentral gyrus of the parietal lobe.</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 </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 </w:t>
      </w:r>
    </w:p>
    <w:p>
      <w:pPr>
        <w:pStyle w:val="3"/>
        <w:widowControl/>
        <w:spacing w:beforeAutospacing="0" w:after="150" w:afterAutospacing="0" w:line="36" w:lineRule="atLeast"/>
        <w:ind w:left="0" w:right="0" w:firstLine="0"/>
        <w:jc w:val="both"/>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Generally, there is a correlation between the type of sensory modality detected and the type of afferent neuron involved. For example, slow, thin, unmyeli</w:t>
      </w:r>
      <w:bookmarkStart w:id="0" w:name="_GoBack"/>
      <w:bookmarkEnd w:id="0"/>
      <w:r>
        <w:rPr>
          <w:rFonts w:hint="default" w:ascii="Times New Roman" w:hAnsi="Times New Roman" w:eastAsia="Times New Roman" w:cs="Times New Roman"/>
          <w:b w:val="0"/>
          <w:i w:val="0"/>
          <w:caps w:val="0"/>
          <w:color w:val="121212"/>
          <w:spacing w:val="0"/>
          <w:sz w:val="32"/>
          <w:szCs w:val="32"/>
          <w:u w:val="none"/>
        </w:rPr>
        <w:t>nated neurons conduct pain whereas faster, thicker, myelinated neurons conduct casual touch.</w:t>
      </w:r>
    </w:p>
    <w:p>
      <w:pPr>
        <w:rPr>
          <w:rFonts w:hint="default"/>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SimSun">
    <w:altName w:val="宋体"/>
    <w:panose1 w:val="02010600030001010101"/>
    <w:charset w:val="86"/>
    <w:family w:val="auto"/>
    <w:pitch w:val="default"/>
    <w:sig w:usb0="00000000" w:usb1="00000000" w:usb2="00000016" w:usb3="00000000" w:csb0="00040001"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BD5C"/>
    <w:multiLevelType w:val="multilevel"/>
    <w:tmpl w:val="5EF0BD5C"/>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F0BE89"/>
    <w:multiLevelType w:val="multilevel"/>
    <w:tmpl w:val="5EF0BE8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c9b7b38aadd03a57f044ae5a19f26059"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2020-06-22T16:05:38Z</dcterms:created>
  <dc:creator>Sexy ass vivian🥵❤️🥰🍑🍫</dc:creator>
  <cp:lastModifiedBy>Sexy ass vivian🥵❤️🥰🍑🍫</cp:lastModifiedBy>
  <dcterms:modified xsi:type="dcterms:W3CDTF">2020-06-22T17:44:05Z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